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626B7F" w14:textId="77777777" w:rsidR="0037412C" w:rsidRDefault="0037412C" w:rsidP="0037412C">
      <w:pPr>
        <w:pStyle w:val="Intestazione"/>
      </w:pPr>
      <w:r>
        <w:rPr>
          <w:rFonts w:ascii="Garamond" w:hAnsi="Garamond"/>
          <w:b/>
          <w:bCs/>
          <w:noProof/>
          <w:color w:val="000000"/>
          <w:lang w:eastAsia="it-IT"/>
          <w14:ligatures w14:val="none"/>
        </w:rPr>
        <w:drawing>
          <wp:inline distT="0" distB="0" distL="0" distR="0" wp14:anchorId="54C2BFA1" wp14:editId="4E3E5935">
            <wp:extent cx="962025" cy="657225"/>
            <wp:effectExtent l="0" t="0" r="9525" b="9525"/>
            <wp:docPr id="1401672397" name="Immagine 1401672397" descr="LOGHINO IF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LOGHINO IFEL"/>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962025" cy="657225"/>
                    </a:xfrm>
                    <a:prstGeom prst="rect">
                      <a:avLst/>
                    </a:prstGeom>
                    <a:noFill/>
                    <a:ln>
                      <a:noFill/>
                    </a:ln>
                  </pic:spPr>
                </pic:pic>
              </a:graphicData>
            </a:graphic>
          </wp:inline>
        </w:drawing>
      </w:r>
      <w:r>
        <w:tab/>
      </w:r>
      <w:r>
        <w:tab/>
      </w:r>
      <w:r w:rsidRPr="008742E6">
        <w:rPr>
          <w:i/>
          <w:iCs/>
          <w:noProof/>
          <w:color w:val="808080" w:themeColor="background1" w:themeShade="80"/>
          <w14:ligatures w14:val="none"/>
        </w:rPr>
        <w:drawing>
          <wp:inline distT="0" distB="0" distL="0" distR="0" wp14:anchorId="48F1184D" wp14:editId="48CAA825">
            <wp:extent cx="504000" cy="745043"/>
            <wp:effectExtent l="0" t="0" r="0" b="0"/>
            <wp:docPr id="1619241087" name="Immagine 1619241087" descr="Immagine che contiene Carattere, diagramma, linea, Rettangol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9510778" name="Immagine 1" descr="Immagine che contiene Carattere, diagramma, linea, Rettangolo&#10;&#10;Descrizione generata automaticamente"/>
                    <pic:cNvPicPr/>
                  </pic:nvPicPr>
                  <pic:blipFill>
                    <a:blip r:embed="rId9" cstate="print">
                      <a:extLst>
                        <a:ext uri="{28A0092B-C50C-407E-A947-70E740481C1C}">
                          <a14:useLocalDpi xmlns:a14="http://schemas.microsoft.com/office/drawing/2010/main" val="0"/>
                        </a:ext>
                      </a:extLst>
                    </a:blip>
                    <a:stretch>
                      <a:fillRect/>
                    </a:stretch>
                  </pic:blipFill>
                  <pic:spPr>
                    <a:xfrm>
                      <a:off x="0" y="0"/>
                      <a:ext cx="504000" cy="745043"/>
                    </a:xfrm>
                    <a:prstGeom prst="rect">
                      <a:avLst/>
                    </a:prstGeom>
                  </pic:spPr>
                </pic:pic>
              </a:graphicData>
            </a:graphic>
          </wp:inline>
        </w:drawing>
      </w:r>
    </w:p>
    <w:p w14:paraId="2243817A" w14:textId="77777777" w:rsidR="007A3373" w:rsidRDefault="007A3373" w:rsidP="00EC7AB3">
      <w:pPr>
        <w:jc w:val="center"/>
        <w:rPr>
          <w:rFonts w:ascii="Bookman Old Style" w:hAnsi="Bookman Old Style"/>
          <w:b/>
          <w:bCs/>
        </w:rPr>
      </w:pPr>
    </w:p>
    <w:p w14:paraId="140E3FB1" w14:textId="4F80FBAA" w:rsidR="005232C1" w:rsidRPr="009678CE" w:rsidRDefault="005232C1" w:rsidP="00EC7AB3">
      <w:pPr>
        <w:jc w:val="center"/>
        <w:rPr>
          <w:rFonts w:ascii="Bookman Old Style" w:hAnsi="Bookman Old Style"/>
          <w:b/>
          <w:bCs/>
        </w:rPr>
      </w:pPr>
      <w:r w:rsidRPr="009678CE">
        <w:rPr>
          <w:rFonts w:ascii="Bookman Old Style" w:hAnsi="Bookman Old Style"/>
          <w:b/>
          <w:bCs/>
        </w:rPr>
        <w:t>Nota di approfondimento</w:t>
      </w:r>
    </w:p>
    <w:p w14:paraId="7938F54F" w14:textId="1A38D687" w:rsidR="005232C1" w:rsidRPr="009678CE" w:rsidRDefault="005232C1" w:rsidP="00EC7AB3">
      <w:pPr>
        <w:jc w:val="center"/>
        <w:rPr>
          <w:rFonts w:ascii="Bookman Old Style" w:hAnsi="Bookman Old Style"/>
          <w:b/>
          <w:bCs/>
        </w:rPr>
      </w:pPr>
      <w:r w:rsidRPr="009678CE">
        <w:rPr>
          <w:rFonts w:ascii="Bookman Old Style" w:hAnsi="Bookman Old Style"/>
          <w:b/>
          <w:bCs/>
        </w:rPr>
        <w:t xml:space="preserve">DM 25 luglio 2023 di </w:t>
      </w:r>
      <w:r w:rsidR="00EC7AB3" w:rsidRPr="009678CE">
        <w:rPr>
          <w:rFonts w:ascii="Bookman Old Style" w:hAnsi="Bookman Old Style"/>
          <w:b/>
          <w:bCs/>
        </w:rPr>
        <w:t xml:space="preserve">aggiornamento dei principi contabili, </w:t>
      </w:r>
      <w:r w:rsidR="00B954D4">
        <w:rPr>
          <w:rFonts w:ascii="Bookman Old Style" w:hAnsi="Bookman Old Style"/>
          <w:b/>
          <w:bCs/>
        </w:rPr>
        <w:br/>
      </w:r>
      <w:r w:rsidR="00EC7AB3" w:rsidRPr="009678CE">
        <w:rPr>
          <w:rFonts w:ascii="Bookman Old Style" w:hAnsi="Bookman Old Style"/>
          <w:b/>
          <w:bCs/>
        </w:rPr>
        <w:t xml:space="preserve">con particolare riferimento </w:t>
      </w:r>
      <w:r w:rsidR="00B954D4">
        <w:rPr>
          <w:rFonts w:ascii="Bookman Old Style" w:hAnsi="Bookman Old Style"/>
          <w:b/>
          <w:bCs/>
        </w:rPr>
        <w:t xml:space="preserve">al processo </w:t>
      </w:r>
      <w:r w:rsidR="00EC7AB3" w:rsidRPr="009678CE">
        <w:rPr>
          <w:rFonts w:ascii="Bookman Old Style" w:hAnsi="Bookman Old Style"/>
          <w:b/>
          <w:bCs/>
        </w:rPr>
        <w:t>di formulazione e deliberazione del bilancio di previsione degli enti locali</w:t>
      </w:r>
      <w:r w:rsidR="007C2E8E">
        <w:rPr>
          <w:rFonts w:ascii="Bookman Old Style" w:hAnsi="Bookman Old Style"/>
          <w:b/>
          <w:bCs/>
        </w:rPr>
        <w:t xml:space="preserve"> (GU</w:t>
      </w:r>
      <w:r w:rsidR="0091518A">
        <w:rPr>
          <w:rFonts w:ascii="Bookman Old Style" w:hAnsi="Bookman Old Style"/>
          <w:b/>
          <w:bCs/>
        </w:rPr>
        <w:t xml:space="preserve"> del </w:t>
      </w:r>
      <w:r w:rsidR="00645376">
        <w:rPr>
          <w:rFonts w:ascii="Bookman Old Style" w:hAnsi="Bookman Old Style"/>
          <w:b/>
          <w:bCs/>
        </w:rPr>
        <w:t xml:space="preserve">4 </w:t>
      </w:r>
      <w:proofErr w:type="gramStart"/>
      <w:r w:rsidR="00645376">
        <w:rPr>
          <w:rFonts w:ascii="Bookman Old Style" w:hAnsi="Bookman Old Style"/>
          <w:b/>
          <w:bCs/>
        </w:rPr>
        <w:t>Agosto</w:t>
      </w:r>
      <w:proofErr w:type="gramEnd"/>
      <w:r w:rsidR="00645376">
        <w:rPr>
          <w:rFonts w:ascii="Bookman Old Style" w:hAnsi="Bookman Old Style"/>
          <w:b/>
          <w:bCs/>
        </w:rPr>
        <w:t xml:space="preserve"> 2023)</w:t>
      </w:r>
    </w:p>
    <w:p w14:paraId="45F283CE" w14:textId="77777777" w:rsidR="007254E9" w:rsidRDefault="007254E9" w:rsidP="00BC5A95">
      <w:pPr>
        <w:jc w:val="both"/>
        <w:rPr>
          <w:rFonts w:ascii="Bookman Old Style" w:hAnsi="Bookman Old Style"/>
        </w:rPr>
      </w:pPr>
    </w:p>
    <w:p w14:paraId="2C38DD59" w14:textId="69A72EB8" w:rsidR="007254E9" w:rsidRPr="007254E9" w:rsidRDefault="007254E9" w:rsidP="007254E9">
      <w:pPr>
        <w:pStyle w:val="Titolo2"/>
        <w:rPr>
          <w:b/>
          <w:bCs/>
        </w:rPr>
      </w:pPr>
      <w:r w:rsidRPr="007254E9">
        <w:rPr>
          <w:b/>
          <w:bCs/>
        </w:rPr>
        <w:t>Premessa</w:t>
      </w:r>
    </w:p>
    <w:p w14:paraId="2ED20300" w14:textId="21279BB4" w:rsidR="008768DD" w:rsidRPr="009678CE" w:rsidRDefault="008768DD" w:rsidP="00BC5A95">
      <w:pPr>
        <w:jc w:val="both"/>
        <w:rPr>
          <w:rFonts w:ascii="Bookman Old Style" w:hAnsi="Bookman Old Style"/>
        </w:rPr>
      </w:pPr>
      <w:r w:rsidRPr="009678CE">
        <w:rPr>
          <w:rFonts w:ascii="Bookman Old Style" w:hAnsi="Bookman Old Style"/>
        </w:rPr>
        <w:t>Il decreto interministeriale 2023 di aggiornamento dei principi contabili allegati al decreto legislativo n. 118/2011</w:t>
      </w:r>
      <w:r w:rsidR="007C2E8E">
        <w:rPr>
          <w:rFonts w:ascii="Bookman Old Style" w:hAnsi="Bookman Old Style"/>
        </w:rPr>
        <w:t xml:space="preserve">, pubblicato nella Gazzetta ufficiale del </w:t>
      </w:r>
      <w:r w:rsidR="004971FC">
        <w:rPr>
          <w:rFonts w:ascii="Bookman Old Style" w:hAnsi="Bookman Old Style"/>
        </w:rPr>
        <w:t xml:space="preserve">4 </w:t>
      </w:r>
      <w:r w:rsidR="007C2E8E">
        <w:rPr>
          <w:rFonts w:ascii="Bookman Old Style" w:hAnsi="Bookman Old Style"/>
        </w:rPr>
        <w:t>agosto scorso</w:t>
      </w:r>
      <w:r w:rsidR="00D04708">
        <w:rPr>
          <w:rFonts w:ascii="Bookman Old Style" w:hAnsi="Bookman Old Style"/>
        </w:rPr>
        <w:t xml:space="preserve">, </w:t>
      </w:r>
      <w:r w:rsidRPr="009678CE">
        <w:rPr>
          <w:rFonts w:ascii="Bookman Old Style" w:hAnsi="Bookman Old Style"/>
        </w:rPr>
        <w:t xml:space="preserve">introduce </w:t>
      </w:r>
      <w:r w:rsidR="00750909" w:rsidRPr="009678CE">
        <w:rPr>
          <w:rFonts w:ascii="Bookman Old Style" w:hAnsi="Bookman Old Style"/>
        </w:rPr>
        <w:t xml:space="preserve">una sezione dedicata al processo di approvazione del bilancio degli enti locali </w:t>
      </w:r>
      <w:r w:rsidRPr="009678CE">
        <w:rPr>
          <w:rFonts w:ascii="Bookman Old Style" w:hAnsi="Bookman Old Style"/>
        </w:rPr>
        <w:t>(</w:t>
      </w:r>
      <w:r w:rsidR="007E1FE4" w:rsidRPr="009678CE">
        <w:rPr>
          <w:rFonts w:ascii="Bookman Old Style" w:hAnsi="Bookman Old Style"/>
        </w:rPr>
        <w:t xml:space="preserve">paragrafi </w:t>
      </w:r>
      <w:r w:rsidRPr="009678CE">
        <w:rPr>
          <w:rFonts w:ascii="Bookman Old Style" w:hAnsi="Bookman Old Style"/>
        </w:rPr>
        <w:t>9.3.1</w:t>
      </w:r>
      <w:r w:rsidR="001E252A">
        <w:rPr>
          <w:rFonts w:ascii="Bookman Old Style" w:hAnsi="Bookman Old Style"/>
        </w:rPr>
        <w:t>-</w:t>
      </w:r>
      <w:r w:rsidR="004057AC">
        <w:rPr>
          <w:rFonts w:ascii="Bookman Old Style" w:hAnsi="Bookman Old Style"/>
        </w:rPr>
        <w:t>9.3.6</w:t>
      </w:r>
      <w:r w:rsidRPr="009678CE">
        <w:rPr>
          <w:rFonts w:ascii="Bookman Old Style" w:hAnsi="Bookman Old Style"/>
        </w:rPr>
        <w:t xml:space="preserve"> </w:t>
      </w:r>
      <w:r w:rsidR="004057AC">
        <w:rPr>
          <w:rFonts w:ascii="Bookman Old Style" w:hAnsi="Bookman Old Style"/>
        </w:rPr>
        <w:t>inserit</w:t>
      </w:r>
      <w:r w:rsidR="004A2A51">
        <w:rPr>
          <w:rFonts w:ascii="Bookman Old Style" w:hAnsi="Bookman Old Style"/>
        </w:rPr>
        <w:t>i</w:t>
      </w:r>
      <w:r w:rsidR="004057AC">
        <w:rPr>
          <w:rFonts w:ascii="Bookman Old Style" w:hAnsi="Bookman Old Style"/>
        </w:rPr>
        <w:t xml:space="preserve"> nel </w:t>
      </w:r>
      <w:r w:rsidRPr="009678CE">
        <w:rPr>
          <w:rFonts w:ascii="Bookman Old Style" w:hAnsi="Bookman Old Style"/>
        </w:rPr>
        <w:t>Principio contabile applicato concernente la programmazione - Allegato 4/1</w:t>
      </w:r>
      <w:r w:rsidR="004057AC">
        <w:rPr>
          <w:rFonts w:ascii="Bookman Old Style" w:hAnsi="Bookman Old Style"/>
        </w:rPr>
        <w:t>, dall’art.</w:t>
      </w:r>
      <w:r w:rsidR="004A2A51">
        <w:rPr>
          <w:rFonts w:ascii="Bookman Old Style" w:hAnsi="Bookman Old Style"/>
        </w:rPr>
        <w:t>1</w:t>
      </w:r>
      <w:r w:rsidR="0007465D">
        <w:rPr>
          <w:rFonts w:ascii="Bookman Old Style" w:hAnsi="Bookman Old Style"/>
        </w:rPr>
        <w:t>, lett. k),</w:t>
      </w:r>
      <w:r w:rsidR="004A2A51">
        <w:rPr>
          <w:rFonts w:ascii="Bookman Old Style" w:hAnsi="Bookman Old Style"/>
        </w:rPr>
        <w:t xml:space="preserve"> del decreto</w:t>
      </w:r>
      <w:r w:rsidRPr="009678CE">
        <w:rPr>
          <w:rFonts w:ascii="Bookman Old Style" w:hAnsi="Bookman Old Style"/>
        </w:rPr>
        <w:t>)</w:t>
      </w:r>
      <w:r w:rsidR="00750909" w:rsidRPr="009678CE">
        <w:rPr>
          <w:rFonts w:ascii="Bookman Old Style" w:hAnsi="Bookman Old Style"/>
        </w:rPr>
        <w:t>.</w:t>
      </w:r>
    </w:p>
    <w:p w14:paraId="1EAEEE5E" w14:textId="28962458" w:rsidR="00750909" w:rsidRPr="009678CE" w:rsidRDefault="00750909" w:rsidP="00BC5A95">
      <w:pPr>
        <w:jc w:val="both"/>
        <w:rPr>
          <w:rFonts w:ascii="Bookman Old Style" w:hAnsi="Bookman Old Style"/>
        </w:rPr>
      </w:pPr>
      <w:r w:rsidRPr="009678CE">
        <w:rPr>
          <w:rFonts w:ascii="Bookman Old Style" w:hAnsi="Bookman Old Style"/>
        </w:rPr>
        <w:t>L’integrazione</w:t>
      </w:r>
      <w:r w:rsidR="0050579B" w:rsidRPr="009678CE">
        <w:rPr>
          <w:rFonts w:ascii="Bookman Old Style" w:hAnsi="Bookman Old Style"/>
        </w:rPr>
        <w:t>, che appare esulare dal</w:t>
      </w:r>
      <w:r w:rsidR="008A0E5D">
        <w:rPr>
          <w:rFonts w:ascii="Bookman Old Style" w:hAnsi="Bookman Old Style"/>
        </w:rPr>
        <w:t xml:space="preserve"> normale ambito </w:t>
      </w:r>
      <w:r w:rsidR="00C227EA" w:rsidRPr="009678CE">
        <w:rPr>
          <w:rFonts w:ascii="Bookman Old Style" w:hAnsi="Bookman Old Style"/>
        </w:rPr>
        <w:t>dei decreti correttivi al d.lgs. 118/</w:t>
      </w:r>
      <w:r w:rsidR="0040712D" w:rsidRPr="009678CE">
        <w:rPr>
          <w:rFonts w:ascii="Bookman Old Style" w:hAnsi="Bookman Old Style"/>
        </w:rPr>
        <w:t>2011 riguardanti solitamente integrazioni ai principi contabili e modifiche al piano dei conti</w:t>
      </w:r>
      <w:r w:rsidR="00EC7284" w:rsidRPr="009678CE">
        <w:rPr>
          <w:rFonts w:ascii="Bookman Old Style" w:hAnsi="Bookman Old Style"/>
        </w:rPr>
        <w:t xml:space="preserve"> su proposta </w:t>
      </w:r>
      <w:proofErr w:type="spellStart"/>
      <w:r w:rsidR="00EC7284" w:rsidRPr="009678CE">
        <w:rPr>
          <w:rFonts w:ascii="Bookman Old Style" w:hAnsi="Bookman Old Style"/>
        </w:rPr>
        <w:t>Arconet</w:t>
      </w:r>
      <w:proofErr w:type="spellEnd"/>
      <w:r w:rsidR="0040712D" w:rsidRPr="009678CE">
        <w:rPr>
          <w:rFonts w:ascii="Bookman Old Style" w:hAnsi="Bookman Old Style"/>
        </w:rPr>
        <w:t>,</w:t>
      </w:r>
      <w:r w:rsidRPr="009678CE">
        <w:rPr>
          <w:rFonts w:ascii="Bookman Old Style" w:hAnsi="Bookman Old Style"/>
        </w:rPr>
        <w:t xml:space="preserve"> è </w:t>
      </w:r>
      <w:proofErr w:type="gramStart"/>
      <w:r w:rsidR="00543266">
        <w:rPr>
          <w:rFonts w:ascii="Bookman Old Style" w:hAnsi="Bookman Old Style"/>
        </w:rPr>
        <w:t xml:space="preserve">attuazione </w:t>
      </w:r>
      <w:r w:rsidRPr="009678CE">
        <w:rPr>
          <w:rFonts w:ascii="Bookman Old Style" w:hAnsi="Bookman Old Style"/>
        </w:rPr>
        <w:t xml:space="preserve"> </w:t>
      </w:r>
      <w:r w:rsidR="00F17018" w:rsidRPr="009678CE">
        <w:rPr>
          <w:rFonts w:ascii="Bookman Old Style" w:hAnsi="Bookman Old Style"/>
        </w:rPr>
        <w:t>d</w:t>
      </w:r>
      <w:r w:rsidR="00543266">
        <w:rPr>
          <w:rFonts w:ascii="Bookman Old Style" w:hAnsi="Bookman Old Style"/>
        </w:rPr>
        <w:t>e</w:t>
      </w:r>
      <w:r w:rsidRPr="009678CE">
        <w:rPr>
          <w:rFonts w:ascii="Bookman Old Style" w:hAnsi="Bookman Old Style"/>
        </w:rPr>
        <w:t>ll’articolo</w:t>
      </w:r>
      <w:proofErr w:type="gramEnd"/>
      <w:r w:rsidRPr="009678CE">
        <w:rPr>
          <w:rFonts w:ascii="Bookman Old Style" w:hAnsi="Bookman Old Style"/>
        </w:rPr>
        <w:t xml:space="preserve"> </w:t>
      </w:r>
      <w:r w:rsidR="00F17018" w:rsidRPr="009678CE">
        <w:rPr>
          <w:rFonts w:ascii="Bookman Old Style" w:hAnsi="Bookman Old Style"/>
        </w:rPr>
        <w:t>16, comma 9-ter, del decreto-legge 9 agosto 2022, n. 115 (</w:t>
      </w:r>
      <w:r w:rsidR="005B05D5" w:rsidRPr="009678CE">
        <w:rPr>
          <w:rFonts w:ascii="Bookman Old Style" w:hAnsi="Bookman Old Style"/>
        </w:rPr>
        <w:t xml:space="preserve">modificazione inserita dalla </w:t>
      </w:r>
      <w:r w:rsidR="00F17018" w:rsidRPr="009678CE">
        <w:rPr>
          <w:rFonts w:ascii="Bookman Old Style" w:hAnsi="Bookman Old Style"/>
        </w:rPr>
        <w:t xml:space="preserve">legge 21 settembre 2022, n. 142). </w:t>
      </w:r>
      <w:r w:rsidR="00EC7284" w:rsidRPr="009678CE">
        <w:rPr>
          <w:rFonts w:ascii="Bookman Old Style" w:hAnsi="Bookman Old Style"/>
        </w:rPr>
        <w:t xml:space="preserve">La norma </w:t>
      </w:r>
      <w:r w:rsidR="005232C1" w:rsidRPr="009678CE">
        <w:rPr>
          <w:rFonts w:ascii="Bookman Old Style" w:hAnsi="Bookman Old Style"/>
        </w:rPr>
        <w:t>richiede</w:t>
      </w:r>
      <w:r w:rsidR="00325ABB" w:rsidRPr="009678CE">
        <w:rPr>
          <w:rFonts w:ascii="Bookman Old Style" w:hAnsi="Bookman Old Style"/>
        </w:rPr>
        <w:t xml:space="preserve"> </w:t>
      </w:r>
      <w:r w:rsidR="003820EF">
        <w:rPr>
          <w:rFonts w:ascii="Bookman Old Style" w:hAnsi="Bookman Old Style"/>
        </w:rPr>
        <w:t xml:space="preserve">infatti </w:t>
      </w:r>
      <w:r w:rsidR="00325ABB" w:rsidRPr="009678CE">
        <w:rPr>
          <w:rFonts w:ascii="Bookman Old Style" w:hAnsi="Bookman Old Style"/>
        </w:rPr>
        <w:t>che</w:t>
      </w:r>
      <w:r w:rsidR="00A80941" w:rsidRPr="009678CE">
        <w:rPr>
          <w:rFonts w:ascii="Bookman Old Style" w:hAnsi="Bookman Old Style"/>
        </w:rPr>
        <w:t>,</w:t>
      </w:r>
      <w:r w:rsidR="005232C1" w:rsidRPr="009678CE">
        <w:rPr>
          <w:rFonts w:ascii="Bookman Old Style" w:hAnsi="Bookman Old Style"/>
        </w:rPr>
        <w:t xml:space="preserve"> “</w:t>
      </w:r>
      <w:r w:rsidR="00F17018" w:rsidRPr="009678CE">
        <w:rPr>
          <w:rFonts w:ascii="Bookman Old Style" w:hAnsi="Bookman Old Style"/>
          <w:i/>
          <w:iCs/>
        </w:rPr>
        <w:t>per favorire l'approvazione del bilancio di previsione degli enti locali entro i termini previsti dalla legge</w:t>
      </w:r>
      <w:r w:rsidR="00325ABB" w:rsidRPr="009678CE">
        <w:rPr>
          <w:rFonts w:ascii="Bookman Old Style" w:hAnsi="Bookman Old Style"/>
        </w:rPr>
        <w:t>”</w:t>
      </w:r>
      <w:r w:rsidR="00F17018" w:rsidRPr="009678CE">
        <w:rPr>
          <w:rFonts w:ascii="Bookman Old Style" w:hAnsi="Bookman Old Style"/>
        </w:rPr>
        <w:t xml:space="preserve">, nell'allegato 4/1 del citato </w:t>
      </w:r>
      <w:r w:rsidR="00383D8F" w:rsidRPr="009678CE">
        <w:rPr>
          <w:rFonts w:ascii="Bookman Old Style" w:hAnsi="Bookman Old Style"/>
        </w:rPr>
        <w:t xml:space="preserve">d.lgs. </w:t>
      </w:r>
      <w:r w:rsidR="00F17018" w:rsidRPr="009678CE">
        <w:rPr>
          <w:rFonts w:ascii="Bookman Old Style" w:hAnsi="Bookman Old Style"/>
        </w:rPr>
        <w:t>n. 118</w:t>
      </w:r>
      <w:r w:rsidR="00383D8F" w:rsidRPr="009678CE">
        <w:rPr>
          <w:rFonts w:ascii="Bookman Old Style" w:hAnsi="Bookman Old Style"/>
        </w:rPr>
        <w:t>, riguardante la programmazione,</w:t>
      </w:r>
      <w:r w:rsidR="00F17018" w:rsidRPr="009678CE">
        <w:rPr>
          <w:rFonts w:ascii="Bookman Old Style" w:hAnsi="Bookman Old Style"/>
        </w:rPr>
        <w:t xml:space="preserve"> </w:t>
      </w:r>
      <w:r w:rsidR="009A7865" w:rsidRPr="009678CE">
        <w:rPr>
          <w:rFonts w:ascii="Bookman Old Style" w:hAnsi="Bookman Old Style"/>
        </w:rPr>
        <w:t>siano “</w:t>
      </w:r>
      <w:r w:rsidR="00F17018" w:rsidRPr="009678CE">
        <w:rPr>
          <w:rFonts w:ascii="Bookman Old Style" w:hAnsi="Bookman Old Style"/>
          <w:i/>
          <w:iCs/>
        </w:rPr>
        <w:t>specificati i ruoli, i compiti e le tempistiche del processo di approvazione del bilancio</w:t>
      </w:r>
      <w:r w:rsidR="00B4370F" w:rsidRPr="009678CE">
        <w:rPr>
          <w:rFonts w:ascii="Bookman Old Style" w:hAnsi="Bookman Old Style"/>
          <w:i/>
          <w:iCs/>
        </w:rPr>
        <w:t xml:space="preserve"> …</w:t>
      </w:r>
      <w:r w:rsidR="00F17018" w:rsidRPr="009678CE">
        <w:rPr>
          <w:rFonts w:ascii="Bookman Old Style" w:hAnsi="Bookman Old Style"/>
          <w:i/>
          <w:iCs/>
        </w:rPr>
        <w:t>, anche nel corso dell'esercizio provvisorio</w:t>
      </w:r>
      <w:r w:rsidR="00B4370F" w:rsidRPr="009678CE">
        <w:rPr>
          <w:rFonts w:ascii="Bookman Old Style" w:hAnsi="Bookman Old Style"/>
        </w:rPr>
        <w:t>”</w:t>
      </w:r>
      <w:r w:rsidR="00F17018" w:rsidRPr="009678CE">
        <w:rPr>
          <w:rFonts w:ascii="Bookman Old Style" w:hAnsi="Bookman Old Style"/>
        </w:rPr>
        <w:t>, affidando la relativa proposta alla Commissione Arconet.</w:t>
      </w:r>
    </w:p>
    <w:p w14:paraId="02428F2A" w14:textId="166A6060" w:rsidR="00F17018" w:rsidRPr="009678CE" w:rsidRDefault="00C64D77" w:rsidP="00BC5A95">
      <w:pPr>
        <w:jc w:val="both"/>
        <w:rPr>
          <w:rFonts w:ascii="Bookman Old Style" w:hAnsi="Bookman Old Style"/>
        </w:rPr>
      </w:pPr>
      <w:r>
        <w:rPr>
          <w:rFonts w:ascii="Bookman Old Style" w:hAnsi="Bookman Old Style"/>
        </w:rPr>
        <w:t xml:space="preserve">Tuttavia, </w:t>
      </w:r>
      <w:r w:rsidR="00CE0F1F">
        <w:rPr>
          <w:rFonts w:ascii="Bookman Old Style" w:hAnsi="Bookman Old Style"/>
        </w:rPr>
        <w:t>s</w:t>
      </w:r>
      <w:r w:rsidR="00370D4B">
        <w:rPr>
          <w:rFonts w:ascii="Bookman Old Style" w:hAnsi="Bookman Old Style"/>
        </w:rPr>
        <w:t>i</w:t>
      </w:r>
      <w:r w:rsidR="00CE0F1F">
        <w:rPr>
          <w:rFonts w:ascii="Bookman Old Style" w:hAnsi="Bookman Old Style"/>
        </w:rPr>
        <w:t xml:space="preserve"> deve osservare </w:t>
      </w:r>
      <w:r>
        <w:rPr>
          <w:rFonts w:ascii="Bookman Old Style" w:hAnsi="Bookman Old Style"/>
        </w:rPr>
        <w:t>che l</w:t>
      </w:r>
      <w:r w:rsidR="00F17018" w:rsidRPr="009678CE">
        <w:rPr>
          <w:rFonts w:ascii="Bookman Old Style" w:hAnsi="Bookman Old Style"/>
        </w:rPr>
        <w:t>e modifiche apportate al complesso processo di approvazione dei bilanci egli enti locali risult</w:t>
      </w:r>
      <w:r w:rsidR="006D39DD">
        <w:rPr>
          <w:rFonts w:ascii="Bookman Old Style" w:hAnsi="Bookman Old Style"/>
        </w:rPr>
        <w:t>a</w:t>
      </w:r>
      <w:r w:rsidR="00F17018" w:rsidRPr="009678CE">
        <w:rPr>
          <w:rFonts w:ascii="Bookman Old Style" w:hAnsi="Bookman Old Style"/>
        </w:rPr>
        <w:t xml:space="preserve">no </w:t>
      </w:r>
      <w:proofErr w:type="gramStart"/>
      <w:r w:rsidR="00F17018" w:rsidRPr="009678CE">
        <w:rPr>
          <w:rFonts w:ascii="Bookman Old Style" w:hAnsi="Bookman Old Style"/>
        </w:rPr>
        <w:t xml:space="preserve">particolarmente </w:t>
      </w:r>
      <w:r w:rsidR="00C03C17" w:rsidRPr="009678CE">
        <w:rPr>
          <w:rFonts w:ascii="Bookman Old Style" w:hAnsi="Bookman Old Style"/>
        </w:rPr>
        <w:t xml:space="preserve"> invasive</w:t>
      </w:r>
      <w:proofErr w:type="gramEnd"/>
      <w:r w:rsidR="00C03C17" w:rsidRPr="009678CE">
        <w:rPr>
          <w:rFonts w:ascii="Bookman Old Style" w:hAnsi="Bookman Old Style"/>
        </w:rPr>
        <w:t xml:space="preserve"> d</w:t>
      </w:r>
      <w:r w:rsidR="0042448A">
        <w:rPr>
          <w:rFonts w:ascii="Bookman Old Style" w:hAnsi="Bookman Old Style"/>
        </w:rPr>
        <w:t xml:space="preserve">i quella </w:t>
      </w:r>
      <w:r w:rsidR="00C446D5">
        <w:rPr>
          <w:rFonts w:ascii="Bookman Old Style" w:hAnsi="Bookman Old Style"/>
        </w:rPr>
        <w:t>potestà regolamentare e organizzativa</w:t>
      </w:r>
      <w:r w:rsidR="0042448A">
        <w:rPr>
          <w:rFonts w:ascii="Bookman Old Style" w:hAnsi="Bookman Old Style"/>
        </w:rPr>
        <w:t xml:space="preserve"> dei Comuni e delle Città </w:t>
      </w:r>
      <w:r w:rsidR="006D39DD">
        <w:rPr>
          <w:rFonts w:ascii="Bookman Old Style" w:hAnsi="Bookman Old Style"/>
        </w:rPr>
        <w:t>m</w:t>
      </w:r>
      <w:r w:rsidR="0042448A">
        <w:rPr>
          <w:rFonts w:ascii="Bookman Old Style" w:hAnsi="Bookman Old Style"/>
        </w:rPr>
        <w:t xml:space="preserve">etropolitane, riconosciuta </w:t>
      </w:r>
      <w:r w:rsidR="006F27CD">
        <w:rPr>
          <w:rFonts w:ascii="Bookman Old Style" w:hAnsi="Bookman Old Style"/>
        </w:rPr>
        <w:t xml:space="preserve">a livello costituzionale e disciplinata nelle norme del TUEL. </w:t>
      </w:r>
      <w:r w:rsidR="00061D08">
        <w:rPr>
          <w:rFonts w:ascii="Bookman Old Style" w:hAnsi="Bookman Old Style"/>
        </w:rPr>
        <w:t xml:space="preserve"> Risultano pertanto poco </w:t>
      </w:r>
      <w:r w:rsidR="00A1655B">
        <w:rPr>
          <w:rFonts w:ascii="Bookman Old Style" w:hAnsi="Bookman Old Style"/>
        </w:rPr>
        <w:t xml:space="preserve">aderenti all’assetto ordinamentale vigente di Comuni e Città Metropolitane </w:t>
      </w:r>
      <w:r w:rsidR="005D7AAE">
        <w:rPr>
          <w:rFonts w:ascii="Bookman Old Style" w:hAnsi="Bookman Old Style"/>
        </w:rPr>
        <w:t>alcuni</w:t>
      </w:r>
      <w:r w:rsidR="00C94DB1">
        <w:rPr>
          <w:rFonts w:ascii="Bookman Old Style" w:hAnsi="Bookman Old Style"/>
        </w:rPr>
        <w:t xml:space="preserve"> </w:t>
      </w:r>
      <w:proofErr w:type="gramStart"/>
      <w:r w:rsidR="00C94DB1">
        <w:rPr>
          <w:rFonts w:ascii="Bookman Old Style" w:hAnsi="Bookman Old Style"/>
        </w:rPr>
        <w:t>contenuti  del</w:t>
      </w:r>
      <w:proofErr w:type="gramEnd"/>
      <w:r w:rsidR="00C94DB1">
        <w:rPr>
          <w:rFonts w:ascii="Bookman Old Style" w:hAnsi="Bookman Old Style"/>
        </w:rPr>
        <w:t xml:space="preserve"> pro</w:t>
      </w:r>
      <w:r w:rsidR="00F9433A">
        <w:rPr>
          <w:rFonts w:ascii="Bookman Old Style" w:hAnsi="Bookman Old Style"/>
        </w:rPr>
        <w:t>v</w:t>
      </w:r>
      <w:r w:rsidR="00C94DB1">
        <w:rPr>
          <w:rFonts w:ascii="Bookman Old Style" w:hAnsi="Bookman Old Style"/>
        </w:rPr>
        <w:t xml:space="preserve">vedimento in </w:t>
      </w:r>
      <w:r w:rsidR="00F9433A">
        <w:rPr>
          <w:rFonts w:ascii="Bookman Old Style" w:hAnsi="Bookman Old Style"/>
        </w:rPr>
        <w:t>esame</w:t>
      </w:r>
      <w:r w:rsidR="00C94DB1">
        <w:rPr>
          <w:rFonts w:ascii="Bookman Old Style" w:hAnsi="Bookman Old Style"/>
        </w:rPr>
        <w:t>,</w:t>
      </w:r>
      <w:r w:rsidR="006C1272" w:rsidRPr="009678CE">
        <w:rPr>
          <w:rFonts w:ascii="Bookman Old Style" w:hAnsi="Bookman Old Style"/>
        </w:rPr>
        <w:t xml:space="preserve"> che</w:t>
      </w:r>
      <w:r w:rsidR="005D7AAE">
        <w:rPr>
          <w:rFonts w:ascii="Bookman Old Style" w:hAnsi="Bookman Old Style"/>
        </w:rPr>
        <w:t>,</w:t>
      </w:r>
      <w:r w:rsidR="006C1272" w:rsidRPr="009678CE">
        <w:rPr>
          <w:rFonts w:ascii="Bookman Old Style" w:hAnsi="Bookman Old Style"/>
        </w:rPr>
        <w:t xml:space="preserve"> di fatto</w:t>
      </w:r>
      <w:r w:rsidR="005D7AAE">
        <w:rPr>
          <w:rFonts w:ascii="Bookman Old Style" w:hAnsi="Bookman Old Style"/>
        </w:rPr>
        <w:t>,</w:t>
      </w:r>
      <w:r w:rsidR="006C1272" w:rsidRPr="009678CE">
        <w:rPr>
          <w:rFonts w:ascii="Bookman Old Style" w:hAnsi="Bookman Old Style"/>
        </w:rPr>
        <w:t xml:space="preserve"> incardina</w:t>
      </w:r>
      <w:r w:rsidR="005D7AAE">
        <w:rPr>
          <w:rFonts w:ascii="Bookman Old Style" w:hAnsi="Bookman Old Style"/>
        </w:rPr>
        <w:t>no</w:t>
      </w:r>
      <w:r w:rsidR="006C1272" w:rsidRPr="009678CE">
        <w:rPr>
          <w:rFonts w:ascii="Bookman Old Style" w:hAnsi="Bookman Old Style"/>
        </w:rPr>
        <w:t xml:space="preserve"> ciascuna delle singole fasi endoprocedimentali del processo di approvazione del bilancio </w:t>
      </w:r>
      <w:r w:rsidR="00511C5C" w:rsidRPr="009678CE">
        <w:rPr>
          <w:rFonts w:ascii="Bookman Old Style" w:hAnsi="Bookman Old Style"/>
        </w:rPr>
        <w:t xml:space="preserve">in una regolamentazione di dettaglio, </w:t>
      </w:r>
      <w:r w:rsidR="00AC3B93">
        <w:rPr>
          <w:rFonts w:ascii="Bookman Old Style" w:hAnsi="Bookman Old Style"/>
        </w:rPr>
        <w:t>che può risultare gravemente limitativa dell’autonomia</w:t>
      </w:r>
      <w:r w:rsidR="00854035">
        <w:rPr>
          <w:rFonts w:ascii="Bookman Old Style" w:hAnsi="Bookman Old Style"/>
        </w:rPr>
        <w:t xml:space="preserve"> regolamentare in materia</w:t>
      </w:r>
      <w:r w:rsidR="00AC3B93">
        <w:rPr>
          <w:rFonts w:ascii="Bookman Old Style" w:hAnsi="Bookman Old Style"/>
        </w:rPr>
        <w:t xml:space="preserve"> degli enti</w:t>
      </w:r>
      <w:r w:rsidR="00A8206F" w:rsidRPr="009678CE">
        <w:rPr>
          <w:rFonts w:ascii="Bookman Old Style" w:hAnsi="Bookman Old Style"/>
        </w:rPr>
        <w:t>.</w:t>
      </w:r>
      <w:r w:rsidR="0082123E">
        <w:rPr>
          <w:rFonts w:ascii="Bookman Old Style" w:hAnsi="Bookman Old Style"/>
        </w:rPr>
        <w:t xml:space="preserve"> Come vedremo, inoltre, </w:t>
      </w:r>
      <w:r w:rsidR="00403D5B">
        <w:rPr>
          <w:rFonts w:ascii="Bookman Old Style" w:hAnsi="Bookman Old Style"/>
        </w:rPr>
        <w:t xml:space="preserve">il decreto sembra voler addirittura limitare i poteri di proroga del Ministro dell’interno, normati dall’articolo 151, </w:t>
      </w:r>
      <w:r w:rsidR="00F55CAD">
        <w:rPr>
          <w:rFonts w:ascii="Bookman Old Style" w:hAnsi="Bookman Old Style"/>
        </w:rPr>
        <w:t>del TUEL</w:t>
      </w:r>
      <w:r w:rsidR="000052D1">
        <w:rPr>
          <w:rFonts w:ascii="Bookman Old Style" w:hAnsi="Bookman Old Style"/>
        </w:rPr>
        <w:t xml:space="preserve">, nonché dello stesso Parlamento, nel caso di proroghe </w:t>
      </w:r>
      <w:r w:rsidR="00096786">
        <w:rPr>
          <w:rFonts w:ascii="Bookman Old Style" w:hAnsi="Bookman Old Style"/>
        </w:rPr>
        <w:t>disposte per legge</w:t>
      </w:r>
      <w:r w:rsidR="000900D1">
        <w:rPr>
          <w:rFonts w:ascii="Bookman Old Style" w:hAnsi="Bookman Old Style"/>
        </w:rPr>
        <w:t xml:space="preserve">. </w:t>
      </w:r>
    </w:p>
    <w:p w14:paraId="766F1279" w14:textId="7DA3CA8E" w:rsidR="003409C9" w:rsidRDefault="003409C9" w:rsidP="00BC5A95">
      <w:pPr>
        <w:jc w:val="both"/>
        <w:rPr>
          <w:rFonts w:ascii="Bookman Old Style" w:hAnsi="Bookman Old Style"/>
        </w:rPr>
      </w:pPr>
      <w:r w:rsidRPr="00B954D4">
        <w:rPr>
          <w:rFonts w:ascii="Bookman Old Style" w:hAnsi="Bookman Old Style"/>
        </w:rPr>
        <w:t xml:space="preserve">Purtroppo, il lavoro di concertazione </w:t>
      </w:r>
      <w:r w:rsidR="00683E43" w:rsidRPr="00B954D4">
        <w:rPr>
          <w:rFonts w:ascii="Bookman Old Style" w:hAnsi="Bookman Old Style"/>
        </w:rPr>
        <w:t>propedeutico alla formulazione della proposta Arconet</w:t>
      </w:r>
      <w:r w:rsidR="00F55CAD">
        <w:rPr>
          <w:rFonts w:ascii="Bookman Old Style" w:hAnsi="Bookman Old Style"/>
        </w:rPr>
        <w:t>,</w:t>
      </w:r>
      <w:r w:rsidR="00683E43" w:rsidRPr="00B954D4">
        <w:rPr>
          <w:rFonts w:ascii="Bookman Old Style" w:hAnsi="Bookman Old Style"/>
        </w:rPr>
        <w:t xml:space="preserve"> </w:t>
      </w:r>
      <w:r w:rsidR="00B954D4">
        <w:rPr>
          <w:rFonts w:ascii="Bookman Old Style" w:hAnsi="Bookman Old Style"/>
        </w:rPr>
        <w:t>ora oggetto del decreto in commento</w:t>
      </w:r>
      <w:r w:rsidR="00F55CAD">
        <w:rPr>
          <w:rFonts w:ascii="Bookman Old Style" w:hAnsi="Bookman Old Style"/>
        </w:rPr>
        <w:t>,</w:t>
      </w:r>
      <w:r w:rsidR="00B954D4">
        <w:rPr>
          <w:rFonts w:ascii="Bookman Old Style" w:hAnsi="Bookman Old Style"/>
        </w:rPr>
        <w:t xml:space="preserve"> si è tra</w:t>
      </w:r>
      <w:r w:rsidR="004C03A0">
        <w:rPr>
          <w:rFonts w:ascii="Bookman Old Style" w:hAnsi="Bookman Old Style"/>
        </w:rPr>
        <w:t>dotto in una norma dirigista che</w:t>
      </w:r>
      <w:r w:rsidR="00586100">
        <w:rPr>
          <w:rFonts w:ascii="Bookman Old Style" w:hAnsi="Bookman Old Style"/>
        </w:rPr>
        <w:t>,</w:t>
      </w:r>
      <w:r w:rsidR="004C03A0">
        <w:rPr>
          <w:rFonts w:ascii="Bookman Old Style" w:hAnsi="Bookman Old Style"/>
        </w:rPr>
        <w:t xml:space="preserve"> anziché facilitare le attività dei responsabili finanziari degli enti locali</w:t>
      </w:r>
      <w:r w:rsidR="00202DEA">
        <w:rPr>
          <w:rFonts w:ascii="Bookman Old Style" w:hAnsi="Bookman Old Style"/>
        </w:rPr>
        <w:t xml:space="preserve"> semplificandone gli adempimenti</w:t>
      </w:r>
      <w:r w:rsidR="00586100">
        <w:rPr>
          <w:rFonts w:ascii="Bookman Old Style" w:hAnsi="Bookman Old Style"/>
        </w:rPr>
        <w:t>,</w:t>
      </w:r>
      <w:r w:rsidR="004C03A0">
        <w:rPr>
          <w:rFonts w:ascii="Bookman Old Style" w:hAnsi="Bookman Old Style"/>
        </w:rPr>
        <w:t xml:space="preserve"> </w:t>
      </w:r>
      <w:r w:rsidR="005E6D4F">
        <w:rPr>
          <w:rFonts w:ascii="Bookman Old Style" w:hAnsi="Bookman Old Style"/>
        </w:rPr>
        <w:t xml:space="preserve">li </w:t>
      </w:r>
      <w:r w:rsidR="00202DEA">
        <w:rPr>
          <w:rFonts w:ascii="Bookman Old Style" w:hAnsi="Bookman Old Style"/>
        </w:rPr>
        <w:t xml:space="preserve">inquadra in un processo organizzativo </w:t>
      </w:r>
      <w:r w:rsidR="002543F3">
        <w:rPr>
          <w:rFonts w:ascii="Bookman Old Style" w:hAnsi="Bookman Old Style"/>
        </w:rPr>
        <w:t xml:space="preserve">che sembra ignorare le delicate problematiche connesse alla certezza delle risorse disponibili e </w:t>
      </w:r>
      <w:r w:rsidR="00723890">
        <w:rPr>
          <w:rFonts w:ascii="Bookman Old Style" w:hAnsi="Bookman Old Style"/>
        </w:rPr>
        <w:t xml:space="preserve">al carattere politico </w:t>
      </w:r>
      <w:r w:rsidR="0091173C">
        <w:rPr>
          <w:rFonts w:ascii="Bookman Old Style" w:hAnsi="Bookman Old Style"/>
        </w:rPr>
        <w:t xml:space="preserve">non solo delle </w:t>
      </w:r>
      <w:r w:rsidR="00723890">
        <w:rPr>
          <w:rFonts w:ascii="Bookman Old Style" w:hAnsi="Bookman Old Style"/>
        </w:rPr>
        <w:t>decisioni che sottostanno alla formazione del bilancio</w:t>
      </w:r>
      <w:r w:rsidR="00AB2A1B">
        <w:rPr>
          <w:rFonts w:ascii="Bookman Old Style" w:hAnsi="Bookman Old Style"/>
        </w:rPr>
        <w:t>,</w:t>
      </w:r>
      <w:r w:rsidR="0091173C">
        <w:rPr>
          <w:rFonts w:ascii="Bookman Old Style" w:hAnsi="Bookman Old Style"/>
        </w:rPr>
        <w:t xml:space="preserve"> ma dello stesso processo che porta alla sua formulazione finale</w:t>
      </w:r>
      <w:r w:rsidR="00723890">
        <w:rPr>
          <w:rFonts w:ascii="Bookman Old Style" w:hAnsi="Bookman Old Style"/>
        </w:rPr>
        <w:t>. In un contesto nel quale</w:t>
      </w:r>
      <w:r w:rsidR="00137B88">
        <w:rPr>
          <w:rFonts w:ascii="Bookman Old Style" w:hAnsi="Bookman Old Style"/>
        </w:rPr>
        <w:t>,</w:t>
      </w:r>
      <w:r w:rsidR="00723890">
        <w:rPr>
          <w:rFonts w:ascii="Bookman Old Style" w:hAnsi="Bookman Old Style"/>
        </w:rPr>
        <w:t xml:space="preserve"> da oltre un decennio</w:t>
      </w:r>
      <w:r w:rsidR="00137B88">
        <w:rPr>
          <w:rFonts w:ascii="Bookman Old Style" w:hAnsi="Bookman Old Style"/>
        </w:rPr>
        <w:t>,</w:t>
      </w:r>
      <w:r w:rsidR="00083D3D">
        <w:rPr>
          <w:rFonts w:ascii="Bookman Old Style" w:hAnsi="Bookman Old Style"/>
        </w:rPr>
        <w:t xml:space="preserve"> </w:t>
      </w:r>
      <w:r w:rsidR="00BB57FE">
        <w:rPr>
          <w:rFonts w:ascii="Bookman Old Style" w:hAnsi="Bookman Old Style"/>
        </w:rPr>
        <w:t xml:space="preserve">rilevanti appostamenti di risorse per gli enti locali sono demandati a provvedimenti </w:t>
      </w:r>
      <w:r w:rsidR="00891BA2">
        <w:rPr>
          <w:rFonts w:ascii="Bookman Old Style" w:hAnsi="Bookman Old Style"/>
        </w:rPr>
        <w:t xml:space="preserve">di fine anno (precedente), se non dell’anno stesso di riferimento del bilancio, </w:t>
      </w:r>
      <w:r w:rsidR="003477BD">
        <w:rPr>
          <w:rFonts w:ascii="Bookman Old Style" w:hAnsi="Bookman Old Style"/>
        </w:rPr>
        <w:t xml:space="preserve">la strada che la Ragioneria generale dello Stato intraprende per “favorire” </w:t>
      </w:r>
      <w:r w:rsidR="00F52D14">
        <w:rPr>
          <w:rFonts w:ascii="Bookman Old Style" w:hAnsi="Bookman Old Style"/>
        </w:rPr>
        <w:t xml:space="preserve">il rispetto dei termini formali di approvazione delle previsioni è di tipo meramente organizzativo, </w:t>
      </w:r>
      <w:r w:rsidR="002E7670">
        <w:rPr>
          <w:rFonts w:ascii="Bookman Old Style" w:hAnsi="Bookman Old Style"/>
        </w:rPr>
        <w:t xml:space="preserve">con l’“arruolamento” dei responsabili finanziari locali </w:t>
      </w:r>
      <w:r w:rsidR="006F4949">
        <w:rPr>
          <w:rFonts w:ascii="Bookman Old Style" w:hAnsi="Bookman Old Style"/>
        </w:rPr>
        <w:t xml:space="preserve">a presidio di nuovi termini burocratici, </w:t>
      </w:r>
      <w:r w:rsidR="003B5142">
        <w:rPr>
          <w:rFonts w:ascii="Bookman Old Style" w:hAnsi="Bookman Old Style"/>
        </w:rPr>
        <w:t xml:space="preserve">e l’inserimento di </w:t>
      </w:r>
      <w:r w:rsidR="006F4949">
        <w:rPr>
          <w:rFonts w:ascii="Bookman Old Style" w:hAnsi="Bookman Old Style"/>
        </w:rPr>
        <w:lastRenderedPageBreak/>
        <w:t xml:space="preserve">adempimenti </w:t>
      </w:r>
      <w:r w:rsidR="003B5142">
        <w:rPr>
          <w:rFonts w:ascii="Bookman Old Style" w:hAnsi="Bookman Old Style"/>
        </w:rPr>
        <w:t xml:space="preserve">intermedi </w:t>
      </w:r>
      <w:r w:rsidR="00732F3D">
        <w:rPr>
          <w:rFonts w:ascii="Bookman Old Style" w:hAnsi="Bookman Old Style"/>
        </w:rPr>
        <w:t xml:space="preserve">il cui mancato rispetto, magari senza conseguenze sul risultato finale, </w:t>
      </w:r>
      <w:r w:rsidR="003B5142">
        <w:rPr>
          <w:rFonts w:ascii="Bookman Old Style" w:hAnsi="Bookman Old Style"/>
        </w:rPr>
        <w:t>potr</w:t>
      </w:r>
      <w:r w:rsidR="00732F3D">
        <w:rPr>
          <w:rFonts w:ascii="Bookman Old Style" w:hAnsi="Bookman Old Style"/>
        </w:rPr>
        <w:t xml:space="preserve">à </w:t>
      </w:r>
      <w:r w:rsidR="003B5142">
        <w:rPr>
          <w:rFonts w:ascii="Bookman Old Style" w:hAnsi="Bookman Old Style"/>
        </w:rPr>
        <w:t>essere eccepit</w:t>
      </w:r>
      <w:r w:rsidR="00732F3D">
        <w:rPr>
          <w:rFonts w:ascii="Bookman Old Style" w:hAnsi="Bookman Old Style"/>
        </w:rPr>
        <w:t>o</w:t>
      </w:r>
      <w:r w:rsidR="003B5142">
        <w:rPr>
          <w:rFonts w:ascii="Bookman Old Style" w:hAnsi="Bookman Old Style"/>
        </w:rPr>
        <w:t xml:space="preserve"> in caso di trasgressione in qualsiasi sede di controllo, ampliandosi così i già debordanti </w:t>
      </w:r>
      <w:r w:rsidR="00C65026">
        <w:rPr>
          <w:rFonts w:ascii="Bookman Old Style" w:hAnsi="Bookman Old Style"/>
        </w:rPr>
        <w:t xml:space="preserve">motivi formali di inasprimento di dialettica – se non di contenzioso – tra livelli amministrativi e livelli politici </w:t>
      </w:r>
      <w:r w:rsidR="00083D3D">
        <w:rPr>
          <w:rFonts w:ascii="Bookman Old Style" w:hAnsi="Bookman Old Style"/>
        </w:rPr>
        <w:t xml:space="preserve">e tra enti, revisori e </w:t>
      </w:r>
      <w:r w:rsidR="002F6A08">
        <w:rPr>
          <w:rFonts w:ascii="Bookman Old Style" w:hAnsi="Bookman Old Style"/>
        </w:rPr>
        <w:t>s</w:t>
      </w:r>
      <w:r w:rsidR="00083D3D">
        <w:rPr>
          <w:rFonts w:ascii="Bookman Old Style" w:hAnsi="Bookman Old Style"/>
        </w:rPr>
        <w:t xml:space="preserve">ezioni regionali della </w:t>
      </w:r>
      <w:r w:rsidR="005C71BC">
        <w:rPr>
          <w:rFonts w:ascii="Bookman Old Style" w:hAnsi="Bookman Old Style"/>
        </w:rPr>
        <w:t>C</w:t>
      </w:r>
      <w:r w:rsidR="00083D3D">
        <w:rPr>
          <w:rFonts w:ascii="Bookman Old Style" w:hAnsi="Bookman Old Style"/>
        </w:rPr>
        <w:t>orte dei conti.</w:t>
      </w:r>
      <w:r w:rsidR="00C65026">
        <w:rPr>
          <w:rFonts w:ascii="Bookman Old Style" w:hAnsi="Bookman Old Style"/>
        </w:rPr>
        <w:t xml:space="preserve"> </w:t>
      </w:r>
    </w:p>
    <w:p w14:paraId="41D7216D" w14:textId="3BD9E986" w:rsidR="005C71BC" w:rsidRDefault="005C71BC" w:rsidP="00BC5A95">
      <w:pPr>
        <w:jc w:val="both"/>
        <w:rPr>
          <w:rFonts w:ascii="Bookman Old Style" w:hAnsi="Bookman Old Style"/>
        </w:rPr>
      </w:pPr>
      <w:r>
        <w:rPr>
          <w:rFonts w:ascii="Bookman Old Style" w:hAnsi="Bookman Old Style"/>
        </w:rPr>
        <w:t>Un risultato negativo</w:t>
      </w:r>
      <w:r w:rsidR="0024047A">
        <w:rPr>
          <w:rFonts w:ascii="Bookman Old Style" w:hAnsi="Bookman Old Style"/>
        </w:rPr>
        <w:t>,</w:t>
      </w:r>
      <w:r>
        <w:rPr>
          <w:rFonts w:ascii="Bookman Old Style" w:hAnsi="Bookman Old Style"/>
        </w:rPr>
        <w:t xml:space="preserve"> </w:t>
      </w:r>
      <w:r w:rsidR="00F41B9F">
        <w:rPr>
          <w:rFonts w:ascii="Bookman Old Style" w:hAnsi="Bookman Old Style"/>
        </w:rPr>
        <w:t xml:space="preserve">ben oltre </w:t>
      </w:r>
      <w:r w:rsidR="00D131E2">
        <w:rPr>
          <w:rFonts w:ascii="Bookman Old Style" w:hAnsi="Bookman Old Style"/>
        </w:rPr>
        <w:t>quanto prescritto dalla norma prima primaria</w:t>
      </w:r>
      <w:r w:rsidR="006C581B">
        <w:rPr>
          <w:rFonts w:ascii="Bookman Old Style" w:hAnsi="Bookman Old Style"/>
        </w:rPr>
        <w:t>,</w:t>
      </w:r>
      <w:r w:rsidR="00F41B9F">
        <w:rPr>
          <w:rFonts w:ascii="Bookman Old Style" w:hAnsi="Bookman Old Style"/>
        </w:rPr>
        <w:t xml:space="preserve"> </w:t>
      </w:r>
      <w:r>
        <w:rPr>
          <w:rFonts w:ascii="Bookman Old Style" w:hAnsi="Bookman Old Style"/>
        </w:rPr>
        <w:t xml:space="preserve">che contraddice </w:t>
      </w:r>
      <w:r w:rsidR="00F41B9F">
        <w:rPr>
          <w:rFonts w:ascii="Bookman Old Style" w:hAnsi="Bookman Old Style"/>
        </w:rPr>
        <w:t xml:space="preserve">le esigenze di </w:t>
      </w:r>
      <w:r w:rsidR="0024047A">
        <w:rPr>
          <w:rFonts w:ascii="Bookman Old Style" w:hAnsi="Bookman Old Style"/>
        </w:rPr>
        <w:t xml:space="preserve">collaborazione </w:t>
      </w:r>
      <w:r w:rsidR="00AC36B0">
        <w:rPr>
          <w:rFonts w:ascii="Bookman Old Style" w:hAnsi="Bookman Old Style"/>
        </w:rPr>
        <w:t xml:space="preserve">con un corpo amministrativo locale profondamento provato dai tagli dello scorso decennio </w:t>
      </w:r>
      <w:r w:rsidR="00D676E6">
        <w:rPr>
          <w:rFonts w:ascii="Bookman Old Style" w:hAnsi="Bookman Old Style"/>
        </w:rPr>
        <w:t xml:space="preserve">e dalle conseguenti riduzioni </w:t>
      </w:r>
      <w:r w:rsidR="0090602D">
        <w:rPr>
          <w:rFonts w:ascii="Bookman Old Style" w:hAnsi="Bookman Old Style"/>
        </w:rPr>
        <w:t xml:space="preserve">di personale, </w:t>
      </w:r>
      <w:proofErr w:type="gramStart"/>
      <w:r w:rsidR="0090602D">
        <w:rPr>
          <w:rFonts w:ascii="Bookman Old Style" w:hAnsi="Bookman Old Style"/>
        </w:rPr>
        <w:t xml:space="preserve">come </w:t>
      </w:r>
      <w:r w:rsidR="00E50E17">
        <w:rPr>
          <w:rFonts w:ascii="Bookman Old Style" w:hAnsi="Bookman Old Style"/>
        </w:rPr>
        <w:t>è noto</w:t>
      </w:r>
      <w:proofErr w:type="gramEnd"/>
      <w:r w:rsidR="00E50E17">
        <w:rPr>
          <w:rFonts w:ascii="Bookman Old Style" w:hAnsi="Bookman Old Style"/>
        </w:rPr>
        <w:t xml:space="preserve"> a</w:t>
      </w:r>
      <w:r w:rsidR="0090602D">
        <w:rPr>
          <w:rFonts w:ascii="Bookman Old Style" w:hAnsi="Bookman Old Style"/>
        </w:rPr>
        <w:t xml:space="preserve">i responsabili della Ragioneria generale che a questo esito hanno </w:t>
      </w:r>
      <w:r w:rsidR="00496908">
        <w:rPr>
          <w:rFonts w:ascii="Bookman Old Style" w:hAnsi="Bookman Old Style"/>
        </w:rPr>
        <w:t>tecnicamente</w:t>
      </w:r>
      <w:r w:rsidR="0090602D">
        <w:rPr>
          <w:rFonts w:ascii="Bookman Old Style" w:hAnsi="Bookman Old Style"/>
        </w:rPr>
        <w:t xml:space="preserve"> contribuito</w:t>
      </w:r>
      <w:r w:rsidR="00FD218F">
        <w:rPr>
          <w:rFonts w:ascii="Bookman Old Style" w:hAnsi="Bookman Old Style"/>
        </w:rPr>
        <w:t>.</w:t>
      </w:r>
    </w:p>
    <w:p w14:paraId="01B9CC35" w14:textId="7DECF8C6" w:rsidR="006B3ADF" w:rsidRDefault="006B3ADF" w:rsidP="00BC5A95">
      <w:pPr>
        <w:jc w:val="both"/>
        <w:rPr>
          <w:rFonts w:ascii="Bookman Old Style" w:hAnsi="Bookman Old Style"/>
        </w:rPr>
      </w:pPr>
      <w:r w:rsidRPr="00EA7ED5">
        <w:rPr>
          <w:rFonts w:ascii="Bookman Old Style" w:hAnsi="Bookman Old Style"/>
        </w:rPr>
        <w:t xml:space="preserve">Questa nota si concentra sulle problematiche relative </w:t>
      </w:r>
      <w:r w:rsidR="00A1213D" w:rsidRPr="00EA7ED5">
        <w:rPr>
          <w:rFonts w:ascii="Bookman Old Style" w:hAnsi="Bookman Old Style"/>
        </w:rPr>
        <w:t>al processo di</w:t>
      </w:r>
      <w:r w:rsidR="006C581B">
        <w:rPr>
          <w:rFonts w:ascii="Bookman Old Style" w:hAnsi="Bookman Old Style"/>
        </w:rPr>
        <w:t xml:space="preserve"> approvazione del</w:t>
      </w:r>
      <w:r w:rsidR="00A1213D" w:rsidRPr="00EA7ED5">
        <w:rPr>
          <w:rFonts w:ascii="Bookman Old Style" w:hAnsi="Bookman Old Style"/>
        </w:rPr>
        <w:t xml:space="preserve"> bilancio</w:t>
      </w:r>
      <w:r w:rsidR="00E32DE5">
        <w:rPr>
          <w:rFonts w:ascii="Bookman Old Style" w:hAnsi="Bookman Old Style"/>
        </w:rPr>
        <w:t xml:space="preserve"> di previsione</w:t>
      </w:r>
      <w:r w:rsidR="00A1213D" w:rsidRPr="00EA7ED5">
        <w:rPr>
          <w:rFonts w:ascii="Bookman Old Style" w:hAnsi="Bookman Old Style"/>
        </w:rPr>
        <w:t xml:space="preserve">, che </w:t>
      </w:r>
      <w:r w:rsidR="00EC30FE" w:rsidRPr="00EA7ED5">
        <w:rPr>
          <w:rFonts w:ascii="Bookman Old Style" w:hAnsi="Bookman Old Style"/>
        </w:rPr>
        <w:t xml:space="preserve">suscitano le maggiori perplessità per gli impatti </w:t>
      </w:r>
      <w:r w:rsidR="00A1213D" w:rsidRPr="00EA7ED5">
        <w:rPr>
          <w:rFonts w:ascii="Bookman Old Style" w:hAnsi="Bookman Old Style"/>
        </w:rPr>
        <w:t xml:space="preserve">delle modifiche indotte dal decreto, rimandando ad altro approfondimento </w:t>
      </w:r>
      <w:r w:rsidR="00462502" w:rsidRPr="00EA7ED5">
        <w:rPr>
          <w:rFonts w:ascii="Bookman Old Style" w:hAnsi="Bookman Old Style"/>
        </w:rPr>
        <w:t>gli interventi su altri aspetti</w:t>
      </w:r>
      <w:r w:rsidR="00D15A7C" w:rsidRPr="00EA7ED5">
        <w:rPr>
          <w:rFonts w:ascii="Bookman Old Style" w:hAnsi="Bookman Old Style"/>
        </w:rPr>
        <w:t>,</w:t>
      </w:r>
      <w:r w:rsidR="00462502" w:rsidRPr="00EA7ED5">
        <w:rPr>
          <w:rFonts w:ascii="Bookman Old Style" w:hAnsi="Bookman Old Style"/>
        </w:rPr>
        <w:t xml:space="preserve"> che sono per lo più </w:t>
      </w:r>
      <w:r w:rsidR="00D15A7C" w:rsidRPr="00EA7ED5">
        <w:rPr>
          <w:rFonts w:ascii="Bookman Old Style" w:hAnsi="Bookman Old Style"/>
        </w:rPr>
        <w:t xml:space="preserve">precisazioni migliorative o di coordinamento </w:t>
      </w:r>
      <w:r w:rsidR="00462502" w:rsidRPr="00EA7ED5">
        <w:rPr>
          <w:rFonts w:ascii="Bookman Old Style" w:hAnsi="Bookman Old Style"/>
        </w:rPr>
        <w:t>con norme via via intervenute</w:t>
      </w:r>
      <w:r w:rsidR="00D15A7C" w:rsidRPr="00EA7ED5">
        <w:rPr>
          <w:rFonts w:ascii="Bookman Old Style" w:hAnsi="Bookman Old Style"/>
        </w:rPr>
        <w:t>,</w:t>
      </w:r>
      <w:r w:rsidR="00462502" w:rsidRPr="00EA7ED5">
        <w:rPr>
          <w:rFonts w:ascii="Bookman Old Style" w:hAnsi="Bookman Old Style"/>
        </w:rPr>
        <w:t xml:space="preserve"> ma </w:t>
      </w:r>
      <w:r w:rsidR="00D15A7C" w:rsidRPr="00EA7ED5">
        <w:rPr>
          <w:rFonts w:ascii="Bookman Old Style" w:hAnsi="Bookman Old Style"/>
        </w:rPr>
        <w:t xml:space="preserve">che </w:t>
      </w:r>
      <w:r w:rsidR="005C2206" w:rsidRPr="00EA7ED5">
        <w:rPr>
          <w:rFonts w:ascii="Bookman Old Style" w:hAnsi="Bookman Old Style"/>
        </w:rPr>
        <w:t>pure possono essere oggetto di chiarimento.</w:t>
      </w:r>
    </w:p>
    <w:p w14:paraId="5DA82240" w14:textId="158354E5" w:rsidR="005C536C" w:rsidRDefault="005C536C" w:rsidP="006175EC">
      <w:pPr>
        <w:pStyle w:val="Titolo2"/>
        <w:numPr>
          <w:ilvl w:val="0"/>
          <w:numId w:val="3"/>
        </w:numPr>
        <w:rPr>
          <w:b/>
          <w:bCs/>
        </w:rPr>
      </w:pPr>
      <w:r w:rsidRPr="007953D2">
        <w:rPr>
          <w:b/>
          <w:bCs/>
        </w:rPr>
        <w:t xml:space="preserve">La decorrenza delle nuove regole </w:t>
      </w:r>
      <w:r w:rsidR="007953D2" w:rsidRPr="007953D2">
        <w:rPr>
          <w:b/>
          <w:bCs/>
        </w:rPr>
        <w:t>di formazione del bilancio di previsione</w:t>
      </w:r>
    </w:p>
    <w:p w14:paraId="7E0F50F4" w14:textId="77777777" w:rsidR="00F42B32" w:rsidRDefault="007953D2" w:rsidP="0019532A">
      <w:pPr>
        <w:jc w:val="both"/>
        <w:rPr>
          <w:rFonts w:ascii="Bookman Old Style" w:hAnsi="Bookman Old Style"/>
        </w:rPr>
      </w:pPr>
      <w:r w:rsidRPr="0019532A">
        <w:rPr>
          <w:rFonts w:ascii="Bookman Old Style" w:hAnsi="Bookman Old Style"/>
        </w:rPr>
        <w:t>Uno dei punti che sta destando maggiore preoccupazione</w:t>
      </w:r>
      <w:r w:rsidR="00A76987" w:rsidRPr="0019532A">
        <w:rPr>
          <w:rFonts w:ascii="Bookman Old Style" w:hAnsi="Bookman Old Style"/>
        </w:rPr>
        <w:t xml:space="preserve"> tra gli operatori e gli amministratori locali </w:t>
      </w:r>
      <w:r w:rsidRPr="0019532A">
        <w:rPr>
          <w:rFonts w:ascii="Bookman Old Style" w:hAnsi="Bookman Old Style"/>
        </w:rPr>
        <w:t xml:space="preserve">riguarda la decorrenza del nuovo processo di approvazione del </w:t>
      </w:r>
      <w:r w:rsidR="00A76987" w:rsidRPr="0019532A">
        <w:rPr>
          <w:rFonts w:ascii="Bookman Old Style" w:hAnsi="Bookman Old Style"/>
        </w:rPr>
        <w:t xml:space="preserve">bilancio di previsione. </w:t>
      </w:r>
      <w:r w:rsidR="0019532A" w:rsidRPr="0019532A">
        <w:rPr>
          <w:rFonts w:ascii="Bookman Old Style" w:hAnsi="Bookman Old Style"/>
        </w:rPr>
        <w:t>Né i</w:t>
      </w:r>
      <w:r w:rsidR="00DA1C0D">
        <w:rPr>
          <w:rFonts w:ascii="Bookman Old Style" w:hAnsi="Bookman Old Style"/>
        </w:rPr>
        <w:t>l</w:t>
      </w:r>
      <w:r w:rsidR="0019532A" w:rsidRPr="0019532A">
        <w:rPr>
          <w:rFonts w:ascii="Bookman Old Style" w:hAnsi="Bookman Old Style"/>
        </w:rPr>
        <w:t xml:space="preserve"> dl 115/2022, né il decreto in commento </w:t>
      </w:r>
      <w:r w:rsidR="00DA1C0D">
        <w:rPr>
          <w:rFonts w:ascii="Bookman Old Style" w:hAnsi="Bookman Old Style"/>
        </w:rPr>
        <w:t xml:space="preserve">contengono un’espressa indicazione </w:t>
      </w:r>
      <w:r w:rsidR="00B9675F">
        <w:rPr>
          <w:rFonts w:ascii="Bookman Old Style" w:hAnsi="Bookman Old Style"/>
        </w:rPr>
        <w:t>circa l’anno di riferimento ai fini della prima applicazione del nuovo schema procedurale.</w:t>
      </w:r>
      <w:r w:rsidR="000563CF">
        <w:rPr>
          <w:rFonts w:ascii="Bookman Old Style" w:hAnsi="Bookman Old Style"/>
        </w:rPr>
        <w:t xml:space="preserve"> </w:t>
      </w:r>
    </w:p>
    <w:p w14:paraId="58B9B8D8" w14:textId="68332597" w:rsidR="00C20CD9" w:rsidRDefault="000563CF" w:rsidP="0019532A">
      <w:pPr>
        <w:jc w:val="both"/>
        <w:rPr>
          <w:rFonts w:ascii="Bookman Old Style" w:hAnsi="Bookman Old Style"/>
        </w:rPr>
      </w:pPr>
      <w:r>
        <w:rPr>
          <w:rFonts w:ascii="Bookman Old Style" w:hAnsi="Bookman Old Style"/>
        </w:rPr>
        <w:t xml:space="preserve">Appare tuttavia fuori discussione la possibilità “tecnica” di imporre </w:t>
      </w:r>
      <w:r w:rsidR="008D7491">
        <w:rPr>
          <w:rFonts w:ascii="Bookman Old Style" w:hAnsi="Bookman Old Style"/>
        </w:rPr>
        <w:t>nuove regole a distanza di poche settimane dalla loro prima applicazione</w:t>
      </w:r>
      <w:r w:rsidR="004971FC">
        <w:rPr>
          <w:rFonts w:ascii="Bookman Old Style" w:hAnsi="Bookman Old Style"/>
        </w:rPr>
        <w:t xml:space="preserve"> e quindi d</w:t>
      </w:r>
      <w:r w:rsidR="0009557D">
        <w:rPr>
          <w:rFonts w:ascii="Bookman Old Style" w:hAnsi="Bookman Old Style"/>
        </w:rPr>
        <w:t>i avviare il processo con riferimento al triennio di bilancio 2024-25</w:t>
      </w:r>
      <w:r w:rsidR="008D7491">
        <w:rPr>
          <w:rFonts w:ascii="Bookman Old Style" w:hAnsi="Bookman Old Style"/>
        </w:rPr>
        <w:t>.</w:t>
      </w:r>
      <w:r w:rsidR="00F42B32">
        <w:rPr>
          <w:rFonts w:ascii="Bookman Old Style" w:hAnsi="Bookman Old Style"/>
        </w:rPr>
        <w:t xml:space="preserve"> </w:t>
      </w:r>
      <w:r w:rsidR="00C20CD9">
        <w:rPr>
          <w:rFonts w:ascii="Bookman Old Style" w:hAnsi="Bookman Old Style"/>
        </w:rPr>
        <w:t>Tra il 4 agosto e il 15 settembre</w:t>
      </w:r>
      <w:r w:rsidR="00831034">
        <w:rPr>
          <w:rFonts w:ascii="Bookman Old Style" w:hAnsi="Bookman Old Style"/>
        </w:rPr>
        <w:t>,</w:t>
      </w:r>
      <w:r w:rsidR="00C20CD9">
        <w:rPr>
          <w:rFonts w:ascii="Bookman Old Style" w:hAnsi="Bookman Old Style"/>
        </w:rPr>
        <w:t xml:space="preserve"> </w:t>
      </w:r>
      <w:r w:rsidR="006C1581">
        <w:rPr>
          <w:rFonts w:ascii="Bookman Old Style" w:hAnsi="Bookman Old Style"/>
        </w:rPr>
        <w:t xml:space="preserve">cioè in meno di sei settimane </w:t>
      </w:r>
      <w:r w:rsidR="007472C0">
        <w:rPr>
          <w:rFonts w:ascii="Bookman Old Style" w:hAnsi="Bookman Old Style"/>
        </w:rPr>
        <w:t>F</w:t>
      </w:r>
      <w:r w:rsidR="006C1581">
        <w:rPr>
          <w:rFonts w:ascii="Bookman Old Style" w:hAnsi="Bookman Old Style"/>
        </w:rPr>
        <w:t>erragosto compreso</w:t>
      </w:r>
      <w:r w:rsidR="00831034">
        <w:rPr>
          <w:rFonts w:ascii="Bookman Old Style" w:hAnsi="Bookman Old Style"/>
        </w:rPr>
        <w:t xml:space="preserve">, </w:t>
      </w:r>
      <w:r w:rsidR="00C4403E">
        <w:rPr>
          <w:rFonts w:ascii="Bookman Old Style" w:hAnsi="Bookman Old Style"/>
        </w:rPr>
        <w:t xml:space="preserve">i responsabili dei servizi finanziari </w:t>
      </w:r>
      <w:r w:rsidR="00F42B32">
        <w:rPr>
          <w:rFonts w:ascii="Bookman Old Style" w:hAnsi="Bookman Old Style"/>
        </w:rPr>
        <w:t>dovrebbe</w:t>
      </w:r>
      <w:r w:rsidR="00904CC8">
        <w:rPr>
          <w:rFonts w:ascii="Bookman Old Style" w:hAnsi="Bookman Old Style"/>
        </w:rPr>
        <w:t>ro</w:t>
      </w:r>
      <w:r w:rsidR="00F42B32">
        <w:rPr>
          <w:rFonts w:ascii="Bookman Old Style" w:hAnsi="Bookman Old Style"/>
        </w:rPr>
        <w:t xml:space="preserve"> </w:t>
      </w:r>
      <w:r w:rsidR="00831034">
        <w:rPr>
          <w:rFonts w:ascii="Bookman Old Style" w:hAnsi="Bookman Old Style"/>
        </w:rPr>
        <w:t xml:space="preserve">approntare il “bilancio tecnico” </w:t>
      </w:r>
      <w:r w:rsidR="00FB6251">
        <w:rPr>
          <w:rFonts w:ascii="Bookman Old Style" w:hAnsi="Bookman Old Style"/>
        </w:rPr>
        <w:t>con contenuti di peso (ved. par. successivo)</w:t>
      </w:r>
      <w:r w:rsidR="008216C6">
        <w:rPr>
          <w:rFonts w:ascii="Bookman Old Style" w:hAnsi="Bookman Old Style"/>
        </w:rPr>
        <w:t xml:space="preserve">, mentre magari sono ancora alle prese con la chiusura del bilancio </w:t>
      </w:r>
      <w:r w:rsidR="00D00021">
        <w:rPr>
          <w:rFonts w:ascii="Bookman Old Style" w:hAnsi="Bookman Old Style"/>
        </w:rPr>
        <w:t xml:space="preserve">di previsione </w:t>
      </w:r>
      <w:r w:rsidR="008216C6">
        <w:rPr>
          <w:rFonts w:ascii="Bookman Old Style" w:hAnsi="Bookman Old Style"/>
        </w:rPr>
        <w:t>202</w:t>
      </w:r>
      <w:r w:rsidR="00D00021">
        <w:rPr>
          <w:rFonts w:ascii="Bookman Old Style" w:hAnsi="Bookman Old Style"/>
        </w:rPr>
        <w:t>3</w:t>
      </w:r>
      <w:r w:rsidR="008216C6">
        <w:rPr>
          <w:rFonts w:ascii="Bookman Old Style" w:hAnsi="Bookman Old Style"/>
        </w:rPr>
        <w:t xml:space="preserve">, </w:t>
      </w:r>
      <w:proofErr w:type="gramStart"/>
      <w:r w:rsidR="008216C6">
        <w:rPr>
          <w:rFonts w:ascii="Bookman Old Style" w:hAnsi="Bookman Old Style"/>
        </w:rPr>
        <w:t>come è noto</w:t>
      </w:r>
      <w:proofErr w:type="gramEnd"/>
      <w:r w:rsidR="008216C6">
        <w:rPr>
          <w:rFonts w:ascii="Bookman Old Style" w:hAnsi="Bookman Old Style"/>
        </w:rPr>
        <w:t xml:space="preserve"> prorogato al </w:t>
      </w:r>
      <w:r w:rsidR="009057E4">
        <w:rPr>
          <w:rFonts w:ascii="Bookman Old Style" w:hAnsi="Bookman Old Style"/>
        </w:rPr>
        <w:t>15</w:t>
      </w:r>
      <w:r w:rsidR="008216C6">
        <w:rPr>
          <w:rFonts w:ascii="Bookman Old Style" w:hAnsi="Bookman Old Style"/>
        </w:rPr>
        <w:t xml:space="preserve"> settembre </w:t>
      </w:r>
      <w:r w:rsidR="008B3E4A">
        <w:rPr>
          <w:rFonts w:ascii="Bookman Old Style" w:hAnsi="Bookman Old Style"/>
        </w:rPr>
        <w:t>2023</w:t>
      </w:r>
      <w:r w:rsidR="008216C6">
        <w:rPr>
          <w:rFonts w:ascii="Bookman Old Style" w:hAnsi="Bookman Old Style"/>
        </w:rPr>
        <w:t>.</w:t>
      </w:r>
    </w:p>
    <w:p w14:paraId="5667AFC1" w14:textId="6B4329F6" w:rsidR="00904CC8" w:rsidRDefault="00D54CEF" w:rsidP="0019532A">
      <w:pPr>
        <w:jc w:val="both"/>
        <w:rPr>
          <w:rFonts w:ascii="Bookman Old Style" w:hAnsi="Bookman Old Style"/>
        </w:rPr>
      </w:pPr>
      <w:r>
        <w:rPr>
          <w:rFonts w:ascii="Bookman Old Style" w:hAnsi="Bookman Old Style"/>
        </w:rPr>
        <w:t xml:space="preserve">Senza </w:t>
      </w:r>
      <w:r w:rsidR="006D13F2">
        <w:rPr>
          <w:rFonts w:ascii="Bookman Old Style" w:hAnsi="Bookman Old Style"/>
        </w:rPr>
        <w:t xml:space="preserve">voler appellarsi allo Statuto dei diritti del contribuente, </w:t>
      </w:r>
      <w:r w:rsidR="0033673C">
        <w:rPr>
          <w:rFonts w:ascii="Bookman Old Style" w:hAnsi="Bookman Old Style"/>
        </w:rPr>
        <w:t xml:space="preserve">l’istituzione di obblighi così pregnanti, con </w:t>
      </w:r>
      <w:r w:rsidR="006D13F2">
        <w:rPr>
          <w:rFonts w:ascii="Bookman Old Style" w:hAnsi="Bookman Old Style"/>
        </w:rPr>
        <w:t xml:space="preserve">una tempistica così ristretta </w:t>
      </w:r>
      <w:r w:rsidR="0033673C">
        <w:rPr>
          <w:rFonts w:ascii="Bookman Old Style" w:hAnsi="Bookman Old Style"/>
        </w:rPr>
        <w:t xml:space="preserve">e </w:t>
      </w:r>
      <w:r w:rsidR="00644F69">
        <w:rPr>
          <w:rFonts w:ascii="Bookman Old Style" w:hAnsi="Bookman Old Style"/>
        </w:rPr>
        <w:t xml:space="preserve">su argomenti così importanti per la vita delle collettività locali non è concessa, nemmeno </w:t>
      </w:r>
      <w:r w:rsidR="0033673C">
        <w:rPr>
          <w:rFonts w:ascii="Bookman Old Style" w:hAnsi="Bookman Old Style"/>
        </w:rPr>
        <w:t>ad un “decreto Arconet”.</w:t>
      </w:r>
      <w:r w:rsidR="00B260A1">
        <w:rPr>
          <w:rFonts w:ascii="Bookman Old Style" w:hAnsi="Bookman Old Style"/>
        </w:rPr>
        <w:t xml:space="preserve"> </w:t>
      </w:r>
      <w:r w:rsidR="008B3E4A" w:rsidRPr="009B0E12">
        <w:rPr>
          <w:rFonts w:ascii="Bookman Old Style" w:hAnsi="Bookman Old Style"/>
        </w:rPr>
        <w:t>La tempistica che risulterebbe imposta per il bilancio di previsione 2024</w:t>
      </w:r>
      <w:r w:rsidR="009B0E12" w:rsidRPr="009B0E12">
        <w:rPr>
          <w:rFonts w:ascii="Bookman Old Style" w:hAnsi="Bookman Old Style"/>
        </w:rPr>
        <w:t xml:space="preserve"> </w:t>
      </w:r>
      <w:r w:rsidR="008B3E4A" w:rsidRPr="009B0E12">
        <w:rPr>
          <w:rFonts w:ascii="Bookman Old Style" w:hAnsi="Bookman Old Style"/>
        </w:rPr>
        <w:t xml:space="preserve">non consente, con ogni evidenza, nemmeno </w:t>
      </w:r>
      <w:r w:rsidR="009B0E12" w:rsidRPr="009B0E12">
        <w:rPr>
          <w:rFonts w:ascii="Bookman Old Style" w:hAnsi="Bookman Old Style"/>
        </w:rPr>
        <w:t xml:space="preserve">l’assimilazione </w:t>
      </w:r>
      <w:r w:rsidR="008B3E4A" w:rsidRPr="009B0E12">
        <w:rPr>
          <w:rFonts w:ascii="Bookman Old Style" w:hAnsi="Bookman Old Style"/>
        </w:rPr>
        <w:t xml:space="preserve">dei principi contabili </w:t>
      </w:r>
      <w:r w:rsidR="009B0E12" w:rsidRPr="009B0E12">
        <w:rPr>
          <w:rFonts w:ascii="Bookman Old Style" w:hAnsi="Bookman Old Style"/>
        </w:rPr>
        <w:t xml:space="preserve">ai fini </w:t>
      </w:r>
      <w:r w:rsidR="008B3E4A" w:rsidRPr="009B0E12">
        <w:rPr>
          <w:rFonts w:ascii="Bookman Old Style" w:hAnsi="Bookman Old Style"/>
        </w:rPr>
        <w:t>della loro effettiva e concreta applicazione</w:t>
      </w:r>
      <w:r w:rsidR="009B0E12">
        <w:rPr>
          <w:rFonts w:ascii="Bookman Old Style" w:hAnsi="Bookman Old Style"/>
        </w:rPr>
        <w:t>.</w:t>
      </w:r>
    </w:p>
    <w:p w14:paraId="467DFEC2" w14:textId="31E08522" w:rsidR="00AC0E2C" w:rsidRDefault="00043BBD" w:rsidP="0019532A">
      <w:pPr>
        <w:jc w:val="both"/>
        <w:rPr>
          <w:rFonts w:ascii="Bookman Old Style" w:hAnsi="Bookman Old Style"/>
        </w:rPr>
      </w:pPr>
      <w:r>
        <w:rPr>
          <w:rFonts w:ascii="Bookman Old Style" w:hAnsi="Bookman Old Style"/>
        </w:rPr>
        <w:t xml:space="preserve">Va peraltro osservato che </w:t>
      </w:r>
      <w:r w:rsidR="00EC7DA9">
        <w:rPr>
          <w:rFonts w:ascii="Bookman Old Style" w:hAnsi="Bookman Old Style"/>
        </w:rPr>
        <w:t xml:space="preserve">l’Esempio </w:t>
      </w:r>
      <w:r>
        <w:rPr>
          <w:rFonts w:ascii="Bookman Old Style" w:hAnsi="Bookman Old Style"/>
        </w:rPr>
        <w:t>2</w:t>
      </w:r>
      <w:r w:rsidR="00391F97">
        <w:rPr>
          <w:rFonts w:ascii="Bookman Old Style" w:hAnsi="Bookman Old Style"/>
        </w:rPr>
        <w:t xml:space="preserve"> riportato </w:t>
      </w:r>
      <w:r w:rsidR="004D5FC4">
        <w:rPr>
          <w:rFonts w:ascii="Bookman Old Style" w:hAnsi="Bookman Old Style"/>
        </w:rPr>
        <w:t xml:space="preserve">nel decreto quale </w:t>
      </w:r>
      <w:r w:rsidR="00391F97">
        <w:rPr>
          <w:rFonts w:ascii="Bookman Old Style" w:hAnsi="Bookman Old Style"/>
        </w:rPr>
        <w:t>appendice tecnica del principio contabile della programmazione</w:t>
      </w:r>
      <w:r>
        <w:rPr>
          <w:rFonts w:ascii="Bookman Old Style" w:hAnsi="Bookman Old Style"/>
        </w:rPr>
        <w:t xml:space="preserve">, nel rappresentare il percorso di applicazione delle nuove norme </w:t>
      </w:r>
      <w:r w:rsidR="00391F97">
        <w:rPr>
          <w:rFonts w:ascii="Bookman Old Style" w:hAnsi="Bookman Old Style"/>
        </w:rPr>
        <w:t xml:space="preserve">si riferisce </w:t>
      </w:r>
      <w:r>
        <w:rPr>
          <w:rFonts w:ascii="Bookman Old Style" w:hAnsi="Bookman Old Style"/>
        </w:rPr>
        <w:t>all’esercizio 2025, con un iter che parte dal mese di settembre 2024</w:t>
      </w:r>
      <w:r w:rsidR="005B3277">
        <w:rPr>
          <w:rFonts w:ascii="Bookman Old Style" w:hAnsi="Bookman Old Style"/>
        </w:rPr>
        <w:t xml:space="preserve"> </w:t>
      </w:r>
      <w:r w:rsidR="00391F97">
        <w:rPr>
          <w:rFonts w:ascii="Bookman Old Style" w:hAnsi="Bookman Old Style"/>
        </w:rPr>
        <w:t xml:space="preserve">e si articola, </w:t>
      </w:r>
      <w:r>
        <w:rPr>
          <w:rFonts w:ascii="Bookman Old Style" w:hAnsi="Bookman Old Style"/>
        </w:rPr>
        <w:t xml:space="preserve">negli enti di maggiori dimensioni, nel termine del 15 settembre per l’adozione dell’atto di indirizzo e della trasmissione del bilancio tecnico e nelle successive scadenze che portano all’approvazione definitiva del bilancio di previsione finanziario entro il </w:t>
      </w:r>
      <w:r w:rsidR="005B3277">
        <w:rPr>
          <w:rFonts w:ascii="Bookman Old Style" w:hAnsi="Bookman Old Style"/>
        </w:rPr>
        <w:t>31 dicembre 2024</w:t>
      </w:r>
      <w:r>
        <w:rPr>
          <w:rFonts w:ascii="Bookman Old Style" w:hAnsi="Bookman Old Style"/>
        </w:rPr>
        <w:t>.</w:t>
      </w:r>
    </w:p>
    <w:p w14:paraId="122C069C" w14:textId="0D577A09" w:rsidR="0009557D" w:rsidRDefault="0009557D" w:rsidP="0019532A">
      <w:pPr>
        <w:jc w:val="both"/>
        <w:rPr>
          <w:rFonts w:ascii="Bookman Old Style" w:hAnsi="Bookman Old Style"/>
        </w:rPr>
      </w:pPr>
      <w:r>
        <w:rPr>
          <w:rFonts w:ascii="Bookman Old Style" w:hAnsi="Bookman Old Style"/>
        </w:rPr>
        <w:t xml:space="preserve">Si ritiene </w:t>
      </w:r>
      <w:r w:rsidR="00C20CD9">
        <w:rPr>
          <w:rFonts w:ascii="Bookman Old Style" w:hAnsi="Bookman Old Style"/>
        </w:rPr>
        <w:t xml:space="preserve">pertanto </w:t>
      </w:r>
      <w:r>
        <w:rPr>
          <w:rFonts w:ascii="Bookman Old Style" w:hAnsi="Bookman Old Style"/>
        </w:rPr>
        <w:t xml:space="preserve">che l’avvio della nuova formulazione procedurale debba intendersi con riferimento al bilancio </w:t>
      </w:r>
      <w:r w:rsidR="00603C31">
        <w:rPr>
          <w:rFonts w:ascii="Bookman Old Style" w:hAnsi="Bookman Old Style"/>
        </w:rPr>
        <w:t xml:space="preserve">di previsione per l’esercizio finanziario </w:t>
      </w:r>
      <w:r w:rsidR="008940E7">
        <w:rPr>
          <w:rFonts w:ascii="Bookman Old Style" w:hAnsi="Bookman Old Style"/>
        </w:rPr>
        <w:t>del</w:t>
      </w:r>
      <w:r>
        <w:rPr>
          <w:rFonts w:ascii="Bookman Old Style" w:hAnsi="Bookman Old Style"/>
        </w:rPr>
        <w:t xml:space="preserve"> 2025</w:t>
      </w:r>
      <w:r w:rsidR="000701D4">
        <w:rPr>
          <w:rFonts w:ascii="Bookman Old Style" w:hAnsi="Bookman Old Style"/>
        </w:rPr>
        <w:t xml:space="preserve"> come da indicazioni dell’esempio sopra menzionato</w:t>
      </w:r>
      <w:r w:rsidR="002930BB">
        <w:rPr>
          <w:rFonts w:ascii="Bookman Old Style" w:hAnsi="Bookman Old Style"/>
        </w:rPr>
        <w:t xml:space="preserve">, auspicando sul punto </w:t>
      </w:r>
      <w:r w:rsidR="008940E7">
        <w:rPr>
          <w:rFonts w:ascii="Bookman Old Style" w:hAnsi="Bookman Old Style"/>
        </w:rPr>
        <w:t xml:space="preserve">anche </w:t>
      </w:r>
      <w:r w:rsidR="002930BB">
        <w:rPr>
          <w:rFonts w:ascii="Bookman Old Style" w:hAnsi="Bookman Old Style"/>
        </w:rPr>
        <w:t>un</w:t>
      </w:r>
      <w:r w:rsidR="008940E7">
        <w:rPr>
          <w:rFonts w:ascii="Bookman Old Style" w:hAnsi="Bookman Old Style"/>
        </w:rPr>
        <w:t xml:space="preserve"> formale</w:t>
      </w:r>
      <w:r w:rsidR="00D54CEF">
        <w:rPr>
          <w:rFonts w:ascii="Bookman Old Style" w:hAnsi="Bookman Old Style"/>
        </w:rPr>
        <w:t xml:space="preserve"> chiarimento ministeriale.</w:t>
      </w:r>
    </w:p>
    <w:p w14:paraId="0A08ADFF" w14:textId="77777777" w:rsidR="00DC6C92" w:rsidRDefault="00DC6C92" w:rsidP="0019532A">
      <w:pPr>
        <w:jc w:val="both"/>
        <w:rPr>
          <w:rFonts w:ascii="Bookman Old Style" w:hAnsi="Bookman Old Style"/>
        </w:rPr>
      </w:pPr>
    </w:p>
    <w:p w14:paraId="40DCA2FE" w14:textId="5622669E" w:rsidR="008D615D" w:rsidRPr="008D615D" w:rsidRDefault="0076504F" w:rsidP="008D615D">
      <w:pPr>
        <w:pStyle w:val="Titolo2"/>
        <w:numPr>
          <w:ilvl w:val="0"/>
          <w:numId w:val="3"/>
        </w:numPr>
        <w:rPr>
          <w:b/>
          <w:bCs/>
        </w:rPr>
      </w:pPr>
      <w:r w:rsidRPr="007D4729">
        <w:rPr>
          <w:b/>
          <w:bCs/>
        </w:rPr>
        <w:lastRenderedPageBreak/>
        <w:t>La procedimentalizzazione de</w:t>
      </w:r>
      <w:r w:rsidR="007A47BE" w:rsidRPr="007D4729">
        <w:rPr>
          <w:b/>
          <w:bCs/>
        </w:rPr>
        <w:t>l bilancio di previsione</w:t>
      </w:r>
    </w:p>
    <w:p w14:paraId="723F39E5" w14:textId="4C588F43" w:rsidR="005C2206" w:rsidRDefault="007D4729" w:rsidP="00BC5A95">
      <w:pPr>
        <w:jc w:val="both"/>
        <w:rPr>
          <w:rFonts w:ascii="Bookman Old Style" w:hAnsi="Bookman Old Style"/>
        </w:rPr>
      </w:pPr>
      <w:r w:rsidRPr="005C2206">
        <w:rPr>
          <w:rFonts w:ascii="Bookman Old Style" w:hAnsi="Bookman Old Style"/>
        </w:rPr>
        <w:t xml:space="preserve">I </w:t>
      </w:r>
      <w:r w:rsidR="002D23CD" w:rsidRPr="005C2206">
        <w:rPr>
          <w:rFonts w:ascii="Bookman Old Style" w:hAnsi="Bookman Old Style"/>
        </w:rPr>
        <w:t>punt</w:t>
      </w:r>
      <w:r w:rsidRPr="005C2206">
        <w:rPr>
          <w:rFonts w:ascii="Bookman Old Style" w:hAnsi="Bookman Old Style"/>
        </w:rPr>
        <w:t>i</w:t>
      </w:r>
      <w:r w:rsidR="002D23CD" w:rsidRPr="005C2206">
        <w:rPr>
          <w:rFonts w:ascii="Bookman Old Style" w:hAnsi="Bookman Old Style"/>
        </w:rPr>
        <w:t xml:space="preserve"> essenzial</w:t>
      </w:r>
      <w:r w:rsidR="005C536C">
        <w:rPr>
          <w:rFonts w:ascii="Bookman Old Style" w:hAnsi="Bookman Old Style"/>
        </w:rPr>
        <w:t>i</w:t>
      </w:r>
      <w:r w:rsidR="002D23CD" w:rsidRPr="005C2206">
        <w:rPr>
          <w:rFonts w:ascii="Bookman Old Style" w:hAnsi="Bookman Old Style"/>
        </w:rPr>
        <w:t xml:space="preserve"> dell’intervento</w:t>
      </w:r>
      <w:r w:rsidR="005C2206" w:rsidRPr="005C2206">
        <w:rPr>
          <w:rFonts w:ascii="Bookman Old Style" w:hAnsi="Bookman Old Style"/>
        </w:rPr>
        <w:t xml:space="preserve"> sul processo di bilancio sono in estrema sintesi:</w:t>
      </w:r>
    </w:p>
    <w:p w14:paraId="19261362" w14:textId="52E8238C" w:rsidR="005C2206" w:rsidRPr="00207B3E" w:rsidRDefault="002D23CD" w:rsidP="00207B3E">
      <w:pPr>
        <w:pStyle w:val="Paragrafoelenco"/>
        <w:numPr>
          <w:ilvl w:val="0"/>
          <w:numId w:val="1"/>
        </w:numPr>
        <w:autoSpaceDE w:val="0"/>
        <w:autoSpaceDN w:val="0"/>
        <w:adjustRightInd w:val="0"/>
        <w:spacing w:after="0" w:line="240" w:lineRule="auto"/>
        <w:jc w:val="both"/>
        <w:rPr>
          <w:rFonts w:ascii="Bookman Old Style" w:hAnsi="Bookman Old Style"/>
        </w:rPr>
      </w:pPr>
      <w:r w:rsidRPr="00207B3E">
        <w:rPr>
          <w:rFonts w:ascii="Bookman Old Style" w:hAnsi="Bookman Old Style"/>
        </w:rPr>
        <w:t>l’introduzione nell’ordinamento formale della nozione di “</w:t>
      </w:r>
      <w:r w:rsidRPr="00207B3E">
        <w:rPr>
          <w:rFonts w:ascii="Bookman Old Style" w:hAnsi="Bookman Old Style"/>
          <w:i/>
          <w:iCs/>
        </w:rPr>
        <w:t>bilancio tecnico</w:t>
      </w:r>
      <w:r w:rsidRPr="00207B3E">
        <w:rPr>
          <w:rFonts w:ascii="Bookman Old Style" w:hAnsi="Bookman Old Style"/>
        </w:rPr>
        <w:t xml:space="preserve">”, il documento preliminare ma già perfettamente articolato con il quale il responsabile finanziario presenta una bozza di bilancio </w:t>
      </w:r>
      <w:r w:rsidR="00C55D53" w:rsidRPr="00207B3E">
        <w:rPr>
          <w:rFonts w:ascii="Bookman Old Style" w:hAnsi="Bookman Old Style"/>
        </w:rPr>
        <w:t xml:space="preserve">a </w:t>
      </w:r>
      <w:r w:rsidR="00285928" w:rsidRPr="00207B3E">
        <w:rPr>
          <w:rFonts w:ascii="Bookman Old Style" w:hAnsi="Bookman Old Style"/>
        </w:rPr>
        <w:t>“</w:t>
      </w:r>
      <w:r w:rsidR="00207B3E" w:rsidRPr="00207B3E">
        <w:rPr>
          <w:rFonts w:ascii="Bookman Old Style" w:hAnsi="Bookman Old Style" w:cs="TimesNewRomanPSMT"/>
          <w:i/>
          <w:iCs/>
          <w:kern w:val="0"/>
        </w:rPr>
        <w:t>a legislazione vigente e ad amministrazione invariata</w:t>
      </w:r>
      <w:r w:rsidR="00207B3E" w:rsidRPr="00207B3E">
        <w:rPr>
          <w:rFonts w:ascii="Bookman Old Style" w:hAnsi="Bookman Old Style" w:cs="TimesNewRomanPSMT"/>
          <w:kern w:val="0"/>
        </w:rPr>
        <w:t>”</w:t>
      </w:r>
      <w:r w:rsidR="00207B3E" w:rsidRPr="00207B3E">
        <w:rPr>
          <w:rFonts w:ascii="Bookman Old Style" w:hAnsi="Bookman Old Style"/>
        </w:rPr>
        <w:t xml:space="preserve"> </w:t>
      </w:r>
      <w:r w:rsidRPr="00207B3E">
        <w:rPr>
          <w:rFonts w:ascii="Bookman Old Style" w:hAnsi="Bookman Old Style"/>
        </w:rPr>
        <w:t>ai responsabili dei servizi</w:t>
      </w:r>
      <w:r w:rsidR="00DB682C" w:rsidRPr="00207B3E">
        <w:rPr>
          <w:rFonts w:ascii="Bookman Old Style" w:hAnsi="Bookman Old Style"/>
        </w:rPr>
        <w:t xml:space="preserve"> </w:t>
      </w:r>
      <w:r w:rsidR="00ED6FAF" w:rsidRPr="00207B3E">
        <w:rPr>
          <w:rFonts w:ascii="Bookman Old Style" w:hAnsi="Bookman Old Style"/>
        </w:rPr>
        <w:t>e alla Giunta</w:t>
      </w:r>
      <w:r w:rsidRPr="00207B3E">
        <w:rPr>
          <w:rFonts w:ascii="Bookman Old Style" w:hAnsi="Bookman Old Style"/>
        </w:rPr>
        <w:t xml:space="preserve"> </w:t>
      </w:r>
      <w:r w:rsidR="005A324A" w:rsidRPr="00207B3E">
        <w:rPr>
          <w:rFonts w:ascii="Bookman Old Style" w:hAnsi="Bookman Old Style"/>
        </w:rPr>
        <w:t>unitamente ad un “</w:t>
      </w:r>
      <w:r w:rsidR="00585028" w:rsidRPr="00207B3E">
        <w:rPr>
          <w:rFonts w:ascii="Bookman Old Style" w:hAnsi="Bookman Old Style"/>
        </w:rPr>
        <w:t>atto di indirizzo” coerente con il DUP</w:t>
      </w:r>
      <w:r w:rsidR="005524A3" w:rsidRPr="00207B3E">
        <w:rPr>
          <w:rFonts w:ascii="Bookman Old Style" w:hAnsi="Bookman Old Style"/>
        </w:rPr>
        <w:t>,</w:t>
      </w:r>
      <w:r w:rsidR="00ED6FAF" w:rsidRPr="00207B3E">
        <w:rPr>
          <w:rFonts w:ascii="Bookman Old Style" w:hAnsi="Bookman Old Style"/>
        </w:rPr>
        <w:t xml:space="preserve"> “</w:t>
      </w:r>
      <w:r w:rsidR="00ED6FAF" w:rsidRPr="00207B3E">
        <w:rPr>
          <w:rFonts w:ascii="Bookman Old Style" w:hAnsi="Bookman Old Style"/>
          <w:i/>
          <w:iCs/>
        </w:rPr>
        <w:t>(anche se non ancora approvato</w:t>
      </w:r>
      <w:r w:rsidR="00127D51" w:rsidRPr="00207B3E">
        <w:rPr>
          <w:rFonts w:ascii="Bookman Old Style" w:hAnsi="Bookman Old Style"/>
          <w:i/>
          <w:iCs/>
        </w:rPr>
        <w:t xml:space="preserve"> dal Consiglio)</w:t>
      </w:r>
      <w:r w:rsidR="00127D51" w:rsidRPr="00207B3E">
        <w:rPr>
          <w:rFonts w:ascii="Bookman Old Style" w:hAnsi="Bookman Old Style"/>
        </w:rPr>
        <w:t>”</w:t>
      </w:r>
      <w:r w:rsidR="005524A3" w:rsidRPr="00207B3E">
        <w:rPr>
          <w:rFonts w:ascii="Bookman Old Style" w:hAnsi="Bookman Old Style"/>
        </w:rPr>
        <w:t>,</w:t>
      </w:r>
      <w:r w:rsidR="00127D51" w:rsidRPr="00207B3E">
        <w:rPr>
          <w:rFonts w:ascii="Bookman Old Style" w:hAnsi="Bookman Old Style"/>
        </w:rPr>
        <w:t xml:space="preserve"> </w:t>
      </w:r>
      <w:r w:rsidR="005524A3" w:rsidRPr="00207B3E">
        <w:rPr>
          <w:rFonts w:ascii="Bookman Old Style" w:hAnsi="Bookman Old Style"/>
        </w:rPr>
        <w:t>come recita</w:t>
      </w:r>
      <w:r w:rsidR="005524A3" w:rsidRPr="00207B3E">
        <w:rPr>
          <w:rFonts w:ascii="Bookman Old Style" w:hAnsi="Bookman Old Style"/>
          <w:i/>
          <w:iCs/>
        </w:rPr>
        <w:t xml:space="preserve"> </w:t>
      </w:r>
      <w:r w:rsidR="005524A3" w:rsidRPr="00207B3E">
        <w:rPr>
          <w:rFonts w:ascii="Bookman Old Style" w:hAnsi="Bookman Old Style"/>
        </w:rPr>
        <w:t xml:space="preserve">il </w:t>
      </w:r>
      <w:r w:rsidR="0098314F" w:rsidRPr="00207B3E">
        <w:rPr>
          <w:rFonts w:ascii="Bookman Old Style" w:hAnsi="Bookman Old Style"/>
        </w:rPr>
        <w:t>nuovo par. 9.3.1</w:t>
      </w:r>
      <w:r w:rsidR="00826342" w:rsidRPr="00207B3E">
        <w:rPr>
          <w:rFonts w:ascii="Bookman Old Style" w:hAnsi="Bookman Old Style"/>
        </w:rPr>
        <w:t>, primo alinea del primo cpv.</w:t>
      </w:r>
      <w:r w:rsidR="00B9217D" w:rsidRPr="00207B3E">
        <w:rPr>
          <w:rFonts w:ascii="Bookman Old Style" w:hAnsi="Bookman Old Style"/>
        </w:rPr>
        <w:t>;</w:t>
      </w:r>
    </w:p>
    <w:p w14:paraId="6355A877" w14:textId="356B9C6F" w:rsidR="00BD0276" w:rsidRPr="00F629AC" w:rsidRDefault="00BD0276" w:rsidP="005C2206">
      <w:pPr>
        <w:pStyle w:val="Paragrafoelenco"/>
        <w:numPr>
          <w:ilvl w:val="0"/>
          <w:numId w:val="1"/>
        </w:numPr>
        <w:jc w:val="both"/>
        <w:rPr>
          <w:rFonts w:ascii="Bookman Old Style" w:hAnsi="Bookman Old Style"/>
        </w:rPr>
      </w:pPr>
      <w:r w:rsidRPr="00F629AC">
        <w:rPr>
          <w:rFonts w:ascii="Bookman Old Style" w:hAnsi="Bookman Old Style"/>
        </w:rPr>
        <w:t xml:space="preserve">la minuta rappresentazione del cronoprogramma </w:t>
      </w:r>
      <w:r w:rsidR="00BE681C" w:rsidRPr="00F629AC">
        <w:rPr>
          <w:rFonts w:ascii="Bookman Old Style" w:hAnsi="Bookman Old Style"/>
        </w:rPr>
        <w:t xml:space="preserve">dal 15 settembre alla fine dell’anno precedente l’esercizio di riferimento, </w:t>
      </w:r>
      <w:r w:rsidR="007B5D10" w:rsidRPr="00F629AC">
        <w:rPr>
          <w:rFonts w:ascii="Bookman Old Style" w:hAnsi="Bookman Old Style"/>
        </w:rPr>
        <w:t>che impegna uffici</w:t>
      </w:r>
      <w:r w:rsidR="00E62691" w:rsidRPr="00F629AC">
        <w:rPr>
          <w:rFonts w:ascii="Bookman Old Style" w:hAnsi="Bookman Old Style"/>
        </w:rPr>
        <w:t xml:space="preserve">, organi del decentramento e altri organi politici a tempi straordinariamente serrati per pervenire </w:t>
      </w:r>
      <w:r w:rsidR="00BE681C" w:rsidRPr="00F629AC">
        <w:rPr>
          <w:rFonts w:ascii="Bookman Old Style" w:hAnsi="Bookman Old Style"/>
        </w:rPr>
        <w:t>all’approvazione del bilancio entro il termine del 31 dicembre;</w:t>
      </w:r>
    </w:p>
    <w:p w14:paraId="5FA78D0E" w14:textId="2C0BE8E1" w:rsidR="00BE681C" w:rsidRPr="00F629AC" w:rsidRDefault="007C4A1D" w:rsidP="005C2206">
      <w:pPr>
        <w:pStyle w:val="Paragrafoelenco"/>
        <w:numPr>
          <w:ilvl w:val="0"/>
          <w:numId w:val="1"/>
        </w:numPr>
        <w:jc w:val="both"/>
        <w:rPr>
          <w:rFonts w:ascii="Bookman Old Style" w:hAnsi="Bookman Old Style"/>
        </w:rPr>
      </w:pPr>
      <w:r w:rsidRPr="00F629AC">
        <w:rPr>
          <w:rFonts w:ascii="Bookman Old Style" w:hAnsi="Bookman Old Style"/>
        </w:rPr>
        <w:t xml:space="preserve">una </w:t>
      </w:r>
      <w:r w:rsidR="00CE1FF7" w:rsidRPr="00F629AC">
        <w:rPr>
          <w:rFonts w:ascii="Bookman Old Style" w:hAnsi="Bookman Old Style"/>
        </w:rPr>
        <w:t xml:space="preserve">regola, che riteniamo estranea alla materia contabile anche estesa ai sensi del dl 115/2022, </w:t>
      </w:r>
      <w:r w:rsidR="00171154" w:rsidRPr="00F629AC">
        <w:rPr>
          <w:rFonts w:ascii="Bookman Old Style" w:hAnsi="Bookman Old Style"/>
        </w:rPr>
        <w:t xml:space="preserve">volta a limitare </w:t>
      </w:r>
      <w:r w:rsidR="00C46A72">
        <w:rPr>
          <w:rFonts w:ascii="Bookman Old Style" w:hAnsi="Bookman Old Style"/>
        </w:rPr>
        <w:t>l’eventuale rinvio del termine</w:t>
      </w:r>
      <w:r w:rsidR="00914FC1" w:rsidRPr="00F629AC">
        <w:rPr>
          <w:rFonts w:ascii="Bookman Old Style" w:hAnsi="Bookman Old Style"/>
        </w:rPr>
        <w:t>,</w:t>
      </w:r>
      <w:r w:rsidR="00171154" w:rsidRPr="00F629AC">
        <w:rPr>
          <w:rFonts w:ascii="Bookman Old Style" w:hAnsi="Bookman Old Style"/>
        </w:rPr>
        <w:t xml:space="preserve"> per legge o ai sensi dell’art. 151 TUEL</w:t>
      </w:r>
      <w:r w:rsidR="00914FC1" w:rsidRPr="00F629AC">
        <w:rPr>
          <w:rFonts w:ascii="Bookman Old Style" w:hAnsi="Bookman Old Style"/>
        </w:rPr>
        <w:t xml:space="preserve">, ai </w:t>
      </w:r>
      <w:r w:rsidR="00761792">
        <w:rPr>
          <w:rFonts w:ascii="Bookman Old Style" w:hAnsi="Bookman Old Style"/>
        </w:rPr>
        <w:t>casi di effettiva difficoltà di ciascun singolo ente, chiamato per questo a deliberare l’eventuale “adesione” al rinvio dei termini.</w:t>
      </w:r>
    </w:p>
    <w:p w14:paraId="6688311D" w14:textId="7041BBFE" w:rsidR="001C2FD0" w:rsidRPr="001C2FD0" w:rsidRDefault="001C2FD0" w:rsidP="005708A7">
      <w:pPr>
        <w:jc w:val="both"/>
        <w:rPr>
          <w:rFonts w:ascii="Bookman Old Style" w:hAnsi="Bookman Old Style"/>
        </w:rPr>
      </w:pPr>
      <w:r w:rsidRPr="001C2FD0">
        <w:rPr>
          <w:rFonts w:ascii="Bookman Old Style" w:hAnsi="Bookman Old Style"/>
          <w:i/>
          <w:iCs/>
        </w:rPr>
        <w:t>Per quanto riguarda i primi due punti</w:t>
      </w:r>
      <w:r w:rsidRPr="001C2FD0">
        <w:rPr>
          <w:rFonts w:ascii="Bookman Old Style" w:hAnsi="Bookman Old Style"/>
        </w:rPr>
        <w:t xml:space="preserve">, va in primo luogo osservato che il cd “bilancio tecnico” è una novità assoluta. Se il dettagliato iter di </w:t>
      </w:r>
      <w:r w:rsidR="00CB4A62">
        <w:rPr>
          <w:rFonts w:ascii="Bookman Old Style" w:hAnsi="Bookman Old Style"/>
        </w:rPr>
        <w:t xml:space="preserve">approvazione del </w:t>
      </w:r>
      <w:r w:rsidRPr="001C2FD0">
        <w:rPr>
          <w:rFonts w:ascii="Bookman Old Style" w:hAnsi="Bookman Old Style"/>
        </w:rPr>
        <w:t>bilancio</w:t>
      </w:r>
      <w:r w:rsidR="00CB4A62">
        <w:rPr>
          <w:rFonts w:ascii="Bookman Old Style" w:hAnsi="Bookman Old Style"/>
        </w:rPr>
        <w:t xml:space="preserve"> di previsione</w:t>
      </w:r>
      <w:r w:rsidR="0068261F">
        <w:rPr>
          <w:rFonts w:ascii="Bookman Old Style" w:hAnsi="Bookman Old Style"/>
        </w:rPr>
        <w:t>,</w:t>
      </w:r>
      <w:r w:rsidRPr="001C2FD0">
        <w:rPr>
          <w:rFonts w:ascii="Bookman Old Style" w:hAnsi="Bookman Old Style"/>
        </w:rPr>
        <w:t xml:space="preserve"> disciplinato dal principio contabile</w:t>
      </w:r>
      <w:r w:rsidR="0068261F">
        <w:rPr>
          <w:rFonts w:ascii="Bookman Old Style" w:hAnsi="Bookman Old Style"/>
        </w:rPr>
        <w:t>,</w:t>
      </w:r>
      <w:r w:rsidRPr="001C2FD0">
        <w:rPr>
          <w:rFonts w:ascii="Bookman Old Style" w:hAnsi="Bookman Old Style"/>
        </w:rPr>
        <w:t xml:space="preserve"> rappresenta</w:t>
      </w:r>
      <w:r w:rsidR="0068261F">
        <w:rPr>
          <w:rFonts w:ascii="Bookman Old Style" w:hAnsi="Bookman Old Style"/>
        </w:rPr>
        <w:t xml:space="preserve"> </w:t>
      </w:r>
      <w:r w:rsidRPr="001C2FD0">
        <w:rPr>
          <w:rFonts w:ascii="Bookman Old Style" w:hAnsi="Bookman Old Style"/>
        </w:rPr>
        <w:t xml:space="preserve">la formalizzazione di un insieme di attività che attualmente si svolgono per giungere alla formulazione della proposta di bilancio adottata dalla Giunta e sottoposta all’esame del Consiglio, altrettanto non si può dire del bilancio tecnico. Non si tratta, infatti, di una mera ipotesi di bilancio che nasce dalle proposte degli uffici e degli amministratori per poi essere “quadrato” ai fini dell’approvazione, ma di un bilancio che deve essere </w:t>
      </w:r>
      <w:r w:rsidR="00300697">
        <w:rPr>
          <w:rFonts w:ascii="Bookman Old Style" w:hAnsi="Bookman Old Style"/>
        </w:rPr>
        <w:t>“</w:t>
      </w:r>
      <w:r w:rsidRPr="001C2FD0">
        <w:rPr>
          <w:rFonts w:ascii="Bookman Old Style" w:hAnsi="Bookman Old Style"/>
        </w:rPr>
        <w:t>quadrato</w:t>
      </w:r>
      <w:r w:rsidR="00300697">
        <w:rPr>
          <w:rFonts w:ascii="Bookman Old Style" w:hAnsi="Bookman Old Style"/>
        </w:rPr>
        <w:t>”</w:t>
      </w:r>
      <w:r w:rsidRPr="001C2FD0">
        <w:rPr>
          <w:rFonts w:ascii="Bookman Old Style" w:hAnsi="Bookman Old Style"/>
        </w:rPr>
        <w:t>, sia in termini di competenza e di cassa fin dalla presentazione, da parte del Responsabile del servizio finanziario, ai responsabili dei servizi e alla Giunta comunale. Il principio peraltro prevede che, nel caso in cui lo stesso bilancio tecnico non sia in equilibrio, in assenza di indirizzi dell’organo esecutivo, il responsabile del servizio finanziario predisponga in ogni caso il bilancio tecnico in equilibrio.</w:t>
      </w:r>
    </w:p>
    <w:p w14:paraId="11D11422" w14:textId="1A505528" w:rsidR="001C2FD0" w:rsidRPr="005708A7" w:rsidRDefault="001C2FD0" w:rsidP="005708A7">
      <w:pPr>
        <w:jc w:val="both"/>
        <w:rPr>
          <w:rFonts w:ascii="Bookman Old Style" w:hAnsi="Bookman Old Style"/>
        </w:rPr>
      </w:pPr>
      <w:r w:rsidRPr="005708A7">
        <w:rPr>
          <w:rFonts w:ascii="Bookman Old Style" w:hAnsi="Bookman Old Style"/>
        </w:rPr>
        <w:t xml:space="preserve">Anche la previsione di un atto di indirizzo da parte della Giunta, entro la medesima data del 15 settembre, è una novità la cui implementazione non è affatto semplice o immediata. La predisposizione di un atto di indirizzo, adottato in coerenza con il DUP (anche non approvato) deve fare i conti con la prassi, piuttosto diffusa, di non presentare il DUP a luglio o di non presentarlo affatto, limitandosi ad approvare il DUP congiuntamente al bilancio di previsione finanziario. </w:t>
      </w:r>
    </w:p>
    <w:p w14:paraId="3972449B" w14:textId="6685BA6E" w:rsidR="00622B80" w:rsidRDefault="001728DF" w:rsidP="00BC5A95">
      <w:pPr>
        <w:jc w:val="both"/>
        <w:rPr>
          <w:rFonts w:ascii="Bookman Old Style" w:hAnsi="Bookman Old Style"/>
        </w:rPr>
      </w:pPr>
      <w:r>
        <w:rPr>
          <w:rFonts w:ascii="Bookman Old Style" w:hAnsi="Bookman Old Style"/>
        </w:rPr>
        <w:t xml:space="preserve">Tale formalizzazione introduce </w:t>
      </w:r>
      <w:r w:rsidR="00A247BB">
        <w:rPr>
          <w:rFonts w:ascii="Bookman Old Style" w:hAnsi="Bookman Old Style"/>
        </w:rPr>
        <w:t xml:space="preserve">quindi </w:t>
      </w:r>
      <w:r>
        <w:rPr>
          <w:rFonts w:ascii="Bookman Old Style" w:hAnsi="Bookman Old Style"/>
        </w:rPr>
        <w:t>ulteriori elementi di rigidità in un contesto già segnato dalla necessità di dare certezza formale alla determinazione degli stanziamenti</w:t>
      </w:r>
      <w:r w:rsidR="004958DE">
        <w:rPr>
          <w:rFonts w:ascii="Bookman Old Style" w:hAnsi="Bookman Old Style"/>
        </w:rPr>
        <w:t xml:space="preserve">, </w:t>
      </w:r>
      <w:r w:rsidR="0040444A">
        <w:rPr>
          <w:rFonts w:ascii="Bookman Old Style" w:hAnsi="Bookman Old Style"/>
        </w:rPr>
        <w:t xml:space="preserve">in particolare sul versante dell’entrata </w:t>
      </w:r>
      <w:r w:rsidR="00BD5113">
        <w:rPr>
          <w:rFonts w:ascii="Bookman Old Style" w:hAnsi="Bookman Old Style"/>
        </w:rPr>
        <w:t xml:space="preserve">le cui componenti </w:t>
      </w:r>
      <w:r w:rsidR="000D650A">
        <w:rPr>
          <w:rFonts w:ascii="Bookman Old Style" w:hAnsi="Bookman Old Style"/>
        </w:rPr>
        <w:t xml:space="preserve">“marginali” </w:t>
      </w:r>
      <w:r w:rsidR="00BD5113">
        <w:rPr>
          <w:rFonts w:ascii="Bookman Old Style" w:hAnsi="Bookman Old Style"/>
        </w:rPr>
        <w:t xml:space="preserve">sono </w:t>
      </w:r>
      <w:r w:rsidR="00C54287">
        <w:rPr>
          <w:rFonts w:ascii="Bookman Old Style" w:hAnsi="Bookman Old Style"/>
        </w:rPr>
        <w:t xml:space="preserve">costantemente definite </w:t>
      </w:r>
      <w:r w:rsidR="00C56255">
        <w:rPr>
          <w:rFonts w:ascii="Bookman Old Style" w:hAnsi="Bookman Old Style"/>
        </w:rPr>
        <w:t xml:space="preserve">soltanto </w:t>
      </w:r>
      <w:r w:rsidR="00C54287">
        <w:rPr>
          <w:rFonts w:ascii="Bookman Old Style" w:hAnsi="Bookman Old Style"/>
        </w:rPr>
        <w:t>con la legge di bilancio o anche con provvedimenti successivi</w:t>
      </w:r>
      <w:r w:rsidR="00546507">
        <w:rPr>
          <w:rFonts w:ascii="Bookman Old Style" w:hAnsi="Bookman Old Style"/>
        </w:rPr>
        <w:t xml:space="preserve">. Vale la pena sottolineare il fatto che </w:t>
      </w:r>
      <w:r w:rsidR="00CB72FB">
        <w:rPr>
          <w:rFonts w:ascii="Bookman Old Style" w:hAnsi="Bookman Old Style"/>
        </w:rPr>
        <w:t>la rigidità strutturale dei bilanci degli enti locali rende essenziale la conoscenza di tali componenti</w:t>
      </w:r>
      <w:r w:rsidR="00622B80">
        <w:rPr>
          <w:rFonts w:ascii="Bookman Old Style" w:hAnsi="Bookman Old Style"/>
        </w:rPr>
        <w:t>,</w:t>
      </w:r>
      <w:r w:rsidR="00CB72FB">
        <w:rPr>
          <w:rFonts w:ascii="Bookman Old Style" w:hAnsi="Bookman Old Style"/>
        </w:rPr>
        <w:t xml:space="preserve"> </w:t>
      </w:r>
      <w:r w:rsidR="00255F6A">
        <w:rPr>
          <w:rFonts w:ascii="Bookman Old Style" w:hAnsi="Bookman Old Style"/>
        </w:rPr>
        <w:t xml:space="preserve">sia per assicurare finanziamenti ordinari di spese non comprimibili, sia per esercitare </w:t>
      </w:r>
      <w:r w:rsidR="00622B80">
        <w:rPr>
          <w:rFonts w:ascii="Bookman Old Style" w:hAnsi="Bookman Old Style"/>
        </w:rPr>
        <w:t>le possibili scelte discrezionali di ciascun ente.</w:t>
      </w:r>
    </w:p>
    <w:p w14:paraId="744339B5" w14:textId="77777777" w:rsidR="000730FE" w:rsidRPr="005E5D3F" w:rsidRDefault="000730FE" w:rsidP="000730FE">
      <w:pPr>
        <w:jc w:val="both"/>
        <w:rPr>
          <w:rFonts w:ascii="Bookman Old Style" w:hAnsi="Bookman Old Style"/>
        </w:rPr>
      </w:pPr>
      <w:r w:rsidRPr="005E5D3F">
        <w:rPr>
          <w:rFonts w:ascii="Bookman Old Style" w:hAnsi="Bookman Old Style"/>
        </w:rPr>
        <w:t xml:space="preserve">Il carattere “tecnico” delle bozze ora oggetto di formalizzazione non deve trarre in inganno sulla loro necessaria “perfezione”. La norma richiede infatti la presentazione di un documento di bilancio a tutti gli effetti, comprensivo della programmazione triennale di lavori, beni e servizi, peraltro desunti dalla programmazione finanziaria 2023-2025. </w:t>
      </w:r>
    </w:p>
    <w:p w14:paraId="5209CBE4" w14:textId="334E0519" w:rsidR="000730FE" w:rsidRPr="005E5D3F" w:rsidRDefault="000730FE" w:rsidP="000730FE">
      <w:pPr>
        <w:jc w:val="both"/>
        <w:rPr>
          <w:rFonts w:ascii="Bookman Old Style" w:hAnsi="Bookman Old Style"/>
        </w:rPr>
      </w:pPr>
      <w:r w:rsidRPr="005E5D3F">
        <w:rPr>
          <w:rFonts w:ascii="Bookman Old Style" w:hAnsi="Bookman Old Style"/>
        </w:rPr>
        <w:t>L’iter stesso prevede inoltre un inedito processo di silenzio assenso sulla proposta di bilancio tecnico in caso di inerzia da parte dei responsabili dei servizi entro la data del 4 ottobre. Questo meccanismo investe il Responsabile del servizio finanziario di prerogative e responsabilità in assenza di tutele contrattual</w:t>
      </w:r>
      <w:r w:rsidR="005D6F01">
        <w:rPr>
          <w:rFonts w:ascii="Bookman Old Style" w:hAnsi="Bookman Old Style"/>
        </w:rPr>
        <w:t xml:space="preserve">i </w:t>
      </w:r>
      <w:r w:rsidRPr="005E5D3F">
        <w:rPr>
          <w:rFonts w:ascii="Bookman Old Style" w:hAnsi="Bookman Old Style"/>
        </w:rPr>
        <w:t>e normative.</w:t>
      </w:r>
    </w:p>
    <w:p w14:paraId="59B0C2D5" w14:textId="5DD9F5DC" w:rsidR="00A65091" w:rsidRDefault="007F2657" w:rsidP="00BC5A95">
      <w:pPr>
        <w:jc w:val="both"/>
        <w:rPr>
          <w:rFonts w:ascii="Bookman Old Style" w:hAnsi="Bookman Old Style"/>
        </w:rPr>
      </w:pPr>
      <w:r w:rsidRPr="00A65091">
        <w:rPr>
          <w:rFonts w:ascii="Bookman Old Style" w:hAnsi="Bookman Old Style"/>
        </w:rPr>
        <w:lastRenderedPageBreak/>
        <w:t>In questo quadro generale si pongono inoltre ulteriori difficoltà nei casi di enti con maggiore complessità organizzativa</w:t>
      </w:r>
      <w:r w:rsidR="00AE6BD3" w:rsidRPr="00A65091">
        <w:rPr>
          <w:rFonts w:ascii="Bookman Old Style" w:hAnsi="Bookman Old Style"/>
        </w:rPr>
        <w:t>. Tra queste, il caso degli enti con articolazione in circoscrizioni/municipi</w:t>
      </w:r>
      <w:r w:rsidR="00F76426" w:rsidRPr="00A65091">
        <w:rPr>
          <w:rFonts w:ascii="Bookman Old Style" w:hAnsi="Bookman Old Style"/>
        </w:rPr>
        <w:t xml:space="preserve"> </w:t>
      </w:r>
      <w:r w:rsidR="00FF4435" w:rsidRPr="00A65091">
        <w:rPr>
          <w:rFonts w:ascii="Bookman Old Style" w:hAnsi="Bookman Old Style"/>
        </w:rPr>
        <w:t>che subiscono</w:t>
      </w:r>
      <w:r w:rsidR="00345211" w:rsidRPr="00A65091">
        <w:rPr>
          <w:rFonts w:ascii="Bookman Old Style" w:hAnsi="Bookman Old Style"/>
        </w:rPr>
        <w:t xml:space="preserve"> un’ulteriore compressione del pro</w:t>
      </w:r>
      <w:r w:rsidR="00233FF3" w:rsidRPr="00A65091">
        <w:rPr>
          <w:rFonts w:ascii="Bookman Old Style" w:hAnsi="Bookman Old Style"/>
        </w:rPr>
        <w:t xml:space="preserve">cesso decisionale e di consultazione </w:t>
      </w:r>
      <w:r w:rsidR="005B0A00" w:rsidRPr="00A65091">
        <w:rPr>
          <w:rFonts w:ascii="Bookman Old Style" w:hAnsi="Bookman Old Style"/>
        </w:rPr>
        <w:t>dovendo comunque rispettare le fasi e i termini intermedi</w:t>
      </w:r>
      <w:r w:rsidR="00F468A8" w:rsidRPr="00A65091">
        <w:rPr>
          <w:rFonts w:ascii="Bookman Old Style" w:hAnsi="Bookman Old Style"/>
        </w:rPr>
        <w:t xml:space="preserve"> indicati in via generale (punto 9.3.2.)</w:t>
      </w:r>
      <w:r w:rsidR="00A65091">
        <w:rPr>
          <w:rFonts w:ascii="Bookman Old Style" w:hAnsi="Bookman Old Style"/>
        </w:rPr>
        <w:t>.</w:t>
      </w:r>
      <w:r w:rsidR="00F5360C">
        <w:rPr>
          <w:rFonts w:ascii="Bookman Old Style" w:hAnsi="Bookman Old Style"/>
        </w:rPr>
        <w:t xml:space="preserve"> </w:t>
      </w:r>
    </w:p>
    <w:p w14:paraId="4CF0032E" w14:textId="53266294" w:rsidR="005D07E7" w:rsidRDefault="00086B3D" w:rsidP="00AA5D2C">
      <w:pPr>
        <w:jc w:val="both"/>
        <w:rPr>
          <w:rFonts w:ascii="Bookman Old Style" w:hAnsi="Bookman Old Style"/>
        </w:rPr>
      </w:pPr>
      <w:r w:rsidRPr="00AD4EB9">
        <w:rPr>
          <w:rFonts w:ascii="Bookman Old Style" w:hAnsi="Bookman Old Style"/>
        </w:rPr>
        <w:t xml:space="preserve">D’altra parte, </w:t>
      </w:r>
      <w:r w:rsidR="00631082" w:rsidRPr="00AD4EB9">
        <w:rPr>
          <w:rFonts w:ascii="Bookman Old Style" w:hAnsi="Bookman Old Style"/>
        </w:rPr>
        <w:t>talune semplificazioni sono indicat</w:t>
      </w:r>
      <w:r w:rsidR="000A795E">
        <w:rPr>
          <w:rFonts w:ascii="Bookman Old Style" w:hAnsi="Bookman Old Style"/>
        </w:rPr>
        <w:t>e</w:t>
      </w:r>
      <w:r w:rsidR="00631082" w:rsidRPr="00AD4EB9">
        <w:rPr>
          <w:rFonts w:ascii="Bookman Old Style" w:hAnsi="Bookman Old Style"/>
        </w:rPr>
        <w:t xml:space="preserve"> per gli enti di piccol</w:t>
      </w:r>
      <w:r w:rsidR="00674F3A" w:rsidRPr="00AD4EB9">
        <w:rPr>
          <w:rFonts w:ascii="Bookman Old Style" w:hAnsi="Bookman Old Style"/>
        </w:rPr>
        <w:t xml:space="preserve">a </w:t>
      </w:r>
      <w:r w:rsidR="005D55B9" w:rsidRPr="00AD4EB9">
        <w:rPr>
          <w:rFonts w:ascii="Bookman Old Style" w:hAnsi="Bookman Old Style"/>
        </w:rPr>
        <w:t>dimensione</w:t>
      </w:r>
      <w:r w:rsidR="00197AFC" w:rsidRPr="00AD4EB9">
        <w:rPr>
          <w:rFonts w:ascii="Bookman Old Style" w:hAnsi="Bookman Old Style"/>
        </w:rPr>
        <w:t>. In primo luogo</w:t>
      </w:r>
      <w:r w:rsidR="00E525B8" w:rsidRPr="00AD4EB9">
        <w:rPr>
          <w:rFonts w:ascii="Bookman Old Style" w:hAnsi="Bookman Old Style"/>
        </w:rPr>
        <w:t>,</w:t>
      </w:r>
      <w:r w:rsidR="00197AFC" w:rsidRPr="00AD4EB9">
        <w:rPr>
          <w:rFonts w:ascii="Bookman Old Style" w:hAnsi="Bookman Old Style"/>
        </w:rPr>
        <w:t xml:space="preserve"> </w:t>
      </w:r>
      <w:r w:rsidR="003F4E85" w:rsidRPr="00AD4EB9">
        <w:rPr>
          <w:rFonts w:ascii="Bookman Old Style" w:hAnsi="Bookman Old Style"/>
        </w:rPr>
        <w:t xml:space="preserve">gli enti di minore dimensione sono definiti </w:t>
      </w:r>
      <w:r w:rsidR="006814EE">
        <w:rPr>
          <w:rFonts w:ascii="Bookman Old Style" w:hAnsi="Bookman Old Style"/>
        </w:rPr>
        <w:t xml:space="preserve">non su base demografica, ma </w:t>
      </w:r>
      <w:r w:rsidR="00F4748F" w:rsidRPr="00AD4EB9">
        <w:rPr>
          <w:rFonts w:ascii="Bookman Old Style" w:hAnsi="Bookman Old Style"/>
        </w:rPr>
        <w:t>sulla base di un duplice criterio</w:t>
      </w:r>
      <w:r w:rsidR="006814EE">
        <w:rPr>
          <w:rFonts w:ascii="Bookman Old Style" w:hAnsi="Bookman Old Style"/>
        </w:rPr>
        <w:t xml:space="preserve"> di carattere organizzativo</w:t>
      </w:r>
      <w:r w:rsidR="00F4748F" w:rsidRPr="00AD4EB9">
        <w:rPr>
          <w:rFonts w:ascii="Bookman Old Style" w:hAnsi="Bookman Old Style"/>
        </w:rPr>
        <w:t xml:space="preserve">: </w:t>
      </w:r>
      <w:r w:rsidR="00E7212F" w:rsidRPr="00AD4EB9">
        <w:rPr>
          <w:rFonts w:ascii="Bookman Old Style" w:hAnsi="Bookman Old Style"/>
        </w:rPr>
        <w:t>“</w:t>
      </w:r>
      <w:r w:rsidR="00E7212F" w:rsidRPr="006175EC">
        <w:rPr>
          <w:rFonts w:ascii="Bookman Old Style" w:hAnsi="Bookman Old Style"/>
          <w:i/>
          <w:iCs/>
        </w:rPr>
        <w:t>gli enti locali che all’avvio del processo di predisposizione del bilancio hanno meno di cinquanta dipendenti o la cui articolazione organizzativa non prevede distinte figure</w:t>
      </w:r>
      <w:r w:rsidR="005D55B9" w:rsidRPr="006175EC">
        <w:rPr>
          <w:rFonts w:ascii="Bookman Old Style" w:hAnsi="Bookman Old Style"/>
          <w:i/>
          <w:iCs/>
        </w:rPr>
        <w:t xml:space="preserve"> </w:t>
      </w:r>
      <w:r w:rsidR="00F67D64" w:rsidRPr="006175EC">
        <w:rPr>
          <w:rFonts w:ascii="Bookman Old Style" w:hAnsi="Bookman Old Style"/>
          <w:i/>
          <w:iCs/>
        </w:rPr>
        <w:t>di responsabilità</w:t>
      </w:r>
      <w:r w:rsidR="00AD4EB9" w:rsidRPr="00AD4EB9">
        <w:rPr>
          <w:rFonts w:ascii="Bookman Old Style" w:hAnsi="Bookman Old Style"/>
        </w:rPr>
        <w:t>”</w:t>
      </w:r>
      <w:r w:rsidR="00E038D1" w:rsidRPr="00AD4EB9">
        <w:rPr>
          <w:rFonts w:ascii="Bookman Old Style" w:hAnsi="Bookman Old Style"/>
        </w:rPr>
        <w:t xml:space="preserve"> per i principali uffici (personale, tecnico</w:t>
      </w:r>
      <w:r w:rsidR="00AD4EB9" w:rsidRPr="00AD4EB9">
        <w:rPr>
          <w:rFonts w:ascii="Bookman Old Style" w:hAnsi="Bookman Old Style"/>
        </w:rPr>
        <w:t xml:space="preserve">, entrate).  </w:t>
      </w:r>
      <w:r w:rsidR="00E47FED">
        <w:rPr>
          <w:rFonts w:ascii="Bookman Old Style" w:hAnsi="Bookman Old Style"/>
        </w:rPr>
        <w:t xml:space="preserve">Si tratta di requisiti disgiunti, attraverso la congiunzione “o”, per cui è fuor di dubbio che nelle intenzioni della Ragioneria </w:t>
      </w:r>
      <w:r w:rsidR="00E51382">
        <w:rPr>
          <w:rFonts w:ascii="Bookman Old Style" w:hAnsi="Bookman Old Style"/>
        </w:rPr>
        <w:t>le</w:t>
      </w:r>
      <w:r w:rsidR="002E5D47">
        <w:rPr>
          <w:rFonts w:ascii="Bookman Old Style" w:hAnsi="Bookman Old Style"/>
        </w:rPr>
        <w:t xml:space="preserve"> </w:t>
      </w:r>
      <w:r w:rsidR="00E51382">
        <w:rPr>
          <w:rFonts w:ascii="Bookman Old Style" w:hAnsi="Bookman Old Style"/>
        </w:rPr>
        <w:t>semplificazion</w:t>
      </w:r>
      <w:r w:rsidR="002E5D47">
        <w:rPr>
          <w:rFonts w:ascii="Bookman Old Style" w:hAnsi="Bookman Old Style"/>
        </w:rPr>
        <w:t>i</w:t>
      </w:r>
      <w:r w:rsidR="00E51382">
        <w:rPr>
          <w:rFonts w:ascii="Bookman Old Style" w:hAnsi="Bookman Old Style"/>
        </w:rPr>
        <w:t xml:space="preserve"> si applicano senz’altro agli enti fino a 49 dipendenti e </w:t>
      </w:r>
      <w:r w:rsidR="005E32C6">
        <w:rPr>
          <w:rFonts w:ascii="Bookman Old Style" w:hAnsi="Bookman Old Style"/>
        </w:rPr>
        <w:t xml:space="preserve">a quelli con numerosità superiore che tuttavia non hanno </w:t>
      </w:r>
      <w:r w:rsidR="00C72EC7">
        <w:rPr>
          <w:rFonts w:ascii="Bookman Old Style" w:hAnsi="Bookman Old Style"/>
        </w:rPr>
        <w:t>responsabilità distinte e definite sulle principali funzioni</w:t>
      </w:r>
      <w:r w:rsidR="002E5D47">
        <w:rPr>
          <w:rFonts w:ascii="Bookman Old Style" w:hAnsi="Bookman Old Style"/>
        </w:rPr>
        <w:t xml:space="preserve">. </w:t>
      </w:r>
      <w:r w:rsidR="00ED34F6">
        <w:rPr>
          <w:rFonts w:ascii="Bookman Old Style" w:hAnsi="Bookman Old Style"/>
        </w:rPr>
        <w:t xml:space="preserve">In questi casi </w:t>
      </w:r>
      <w:r w:rsidR="00304DE2">
        <w:rPr>
          <w:rFonts w:ascii="Bookman Old Style" w:hAnsi="Bookman Old Style"/>
        </w:rPr>
        <w:t xml:space="preserve">lo </w:t>
      </w:r>
      <w:r w:rsidR="005528D7">
        <w:rPr>
          <w:rFonts w:ascii="Bookman Old Style" w:hAnsi="Bookman Old Style"/>
        </w:rPr>
        <w:t>“</w:t>
      </w:r>
      <w:r w:rsidR="00304DE2" w:rsidRPr="005528D7">
        <w:rPr>
          <w:rFonts w:ascii="Bookman Old Style" w:hAnsi="Bookman Old Style"/>
          <w:i/>
          <w:iCs/>
        </w:rPr>
        <w:t>schema di bilancio</w:t>
      </w:r>
      <w:r w:rsidR="00304DE2">
        <w:rPr>
          <w:rFonts w:ascii="Bookman Old Style" w:hAnsi="Bookman Old Style"/>
        </w:rPr>
        <w:t>”</w:t>
      </w:r>
      <w:r w:rsidR="00643FE5">
        <w:rPr>
          <w:rFonts w:ascii="Bookman Old Style" w:hAnsi="Bookman Old Style"/>
        </w:rPr>
        <w:t xml:space="preserve"> </w:t>
      </w:r>
      <w:r w:rsidR="00FC1C80">
        <w:rPr>
          <w:rFonts w:ascii="Bookman Old Style" w:hAnsi="Bookman Old Style"/>
        </w:rPr>
        <w:t>andrebbe “</w:t>
      </w:r>
      <w:r w:rsidR="00FC1C80" w:rsidRPr="005528D7">
        <w:rPr>
          <w:rFonts w:ascii="Bookman Old Style" w:hAnsi="Bookman Old Style"/>
          <w:i/>
          <w:iCs/>
        </w:rPr>
        <w:t>predisposto dall’organo esecutivo con la collaborazione del segretario comunale e del responsabile del servizio finanziario</w:t>
      </w:r>
      <w:r w:rsidR="00FC1C80">
        <w:rPr>
          <w:rFonts w:ascii="Bookman Old Style" w:hAnsi="Bookman Old Style"/>
        </w:rPr>
        <w:t xml:space="preserve">”, e quest’ultimo </w:t>
      </w:r>
      <w:r w:rsidR="009D19CF">
        <w:rPr>
          <w:rFonts w:ascii="Bookman Old Style" w:hAnsi="Bookman Old Style"/>
        </w:rPr>
        <w:t xml:space="preserve">o </w:t>
      </w:r>
      <w:r w:rsidR="00AA5D2C">
        <w:rPr>
          <w:rFonts w:ascii="Bookman Old Style" w:hAnsi="Bookman Old Style"/>
        </w:rPr>
        <w:t>“</w:t>
      </w:r>
      <w:r w:rsidR="009D19CF" w:rsidRPr="00AA5D2C">
        <w:rPr>
          <w:rFonts w:ascii="Bookman Old Style" w:hAnsi="Bookman Old Style"/>
          <w:i/>
          <w:iCs/>
        </w:rPr>
        <w:t>chi ne fa le veci</w:t>
      </w:r>
      <w:r w:rsidR="009D19CF">
        <w:rPr>
          <w:rFonts w:ascii="Bookman Old Style" w:hAnsi="Bookman Old Style"/>
        </w:rPr>
        <w:t xml:space="preserve">” </w:t>
      </w:r>
      <w:r w:rsidR="000B21E3">
        <w:rPr>
          <w:rFonts w:ascii="Bookman Old Style" w:hAnsi="Bookman Old Style"/>
        </w:rPr>
        <w:t>(</w:t>
      </w:r>
      <w:r w:rsidR="009D19CF" w:rsidRPr="00AA5D2C">
        <w:rPr>
          <w:rFonts w:ascii="Bookman Old Style" w:hAnsi="Bookman Old Style"/>
          <w:i/>
          <w:iCs/>
        </w:rPr>
        <w:t>sic</w:t>
      </w:r>
      <w:r w:rsidR="009D19CF" w:rsidRPr="000B21E3">
        <w:rPr>
          <w:rFonts w:ascii="Bookman Old Style" w:hAnsi="Bookman Old Style"/>
        </w:rPr>
        <w:t>)</w:t>
      </w:r>
      <w:r w:rsidR="009D19CF">
        <w:rPr>
          <w:rFonts w:ascii="Bookman Old Style" w:hAnsi="Bookman Old Style"/>
        </w:rPr>
        <w:t xml:space="preserve"> </w:t>
      </w:r>
      <w:r w:rsidR="00FC1C80">
        <w:rPr>
          <w:rFonts w:ascii="Bookman Old Style" w:hAnsi="Bookman Old Style"/>
        </w:rPr>
        <w:t xml:space="preserve">è </w:t>
      </w:r>
      <w:r w:rsidR="005528D7">
        <w:rPr>
          <w:rFonts w:ascii="Bookman Old Style" w:hAnsi="Bookman Old Style"/>
        </w:rPr>
        <w:t xml:space="preserve">comunque </w:t>
      </w:r>
      <w:r w:rsidR="00FC1C80">
        <w:rPr>
          <w:rFonts w:ascii="Bookman Old Style" w:hAnsi="Bookman Old Style"/>
        </w:rPr>
        <w:t xml:space="preserve">tenuto a </w:t>
      </w:r>
      <w:r w:rsidR="009D19CF">
        <w:rPr>
          <w:rFonts w:ascii="Bookman Old Style" w:hAnsi="Bookman Old Style"/>
        </w:rPr>
        <w:t xml:space="preserve">presentare </w:t>
      </w:r>
      <w:r w:rsidR="005528D7">
        <w:rPr>
          <w:rFonts w:ascii="Bookman Old Style" w:hAnsi="Bookman Old Style"/>
        </w:rPr>
        <w:t xml:space="preserve">lo schema </w:t>
      </w:r>
      <w:r w:rsidR="00055243">
        <w:rPr>
          <w:rFonts w:ascii="Bookman Old Style" w:hAnsi="Bookman Old Style"/>
        </w:rPr>
        <w:t>entro il 30 settembre.</w:t>
      </w:r>
      <w:r w:rsidR="00B8681E">
        <w:rPr>
          <w:rFonts w:ascii="Bookman Old Style" w:hAnsi="Bookman Old Style"/>
        </w:rPr>
        <w:t xml:space="preserve"> Seguono poi le scadenze intermedie che giungono alla presentazione della proposta di bilancio all’organo consiliare </w:t>
      </w:r>
      <w:r w:rsidR="00B91438">
        <w:rPr>
          <w:rFonts w:ascii="Bookman Old Style" w:hAnsi="Bookman Old Style"/>
        </w:rPr>
        <w:t>entro il 15 novembre.</w:t>
      </w:r>
    </w:p>
    <w:p w14:paraId="4732546B" w14:textId="70A17B95" w:rsidR="00855DB8" w:rsidRPr="00AA5D2C" w:rsidRDefault="00855DB8" w:rsidP="00AA5D2C">
      <w:pPr>
        <w:jc w:val="both"/>
        <w:rPr>
          <w:rFonts w:ascii="Bookman Old Style" w:hAnsi="Bookman Old Style"/>
        </w:rPr>
      </w:pPr>
      <w:r w:rsidRPr="006175EC">
        <w:rPr>
          <w:rFonts w:ascii="Bookman Old Style" w:hAnsi="Bookman Old Style"/>
        </w:rPr>
        <w:t>Questo insieme di prescrizioni, per quanto considerabili di nat</w:t>
      </w:r>
      <w:r w:rsidR="00697531" w:rsidRPr="006175EC">
        <w:rPr>
          <w:rFonts w:ascii="Bookman Old Style" w:hAnsi="Bookman Old Style"/>
        </w:rPr>
        <w:t>u</w:t>
      </w:r>
      <w:r w:rsidRPr="006175EC">
        <w:rPr>
          <w:rFonts w:ascii="Bookman Old Style" w:hAnsi="Bookman Old Style"/>
        </w:rPr>
        <w:t>ra ordinatoria</w:t>
      </w:r>
      <w:r w:rsidR="00697531" w:rsidRPr="006175EC">
        <w:rPr>
          <w:rFonts w:ascii="Bookman Old Style" w:hAnsi="Bookman Old Style"/>
        </w:rPr>
        <w:t xml:space="preserve">, </w:t>
      </w:r>
      <w:proofErr w:type="gramStart"/>
      <w:r w:rsidR="00697531" w:rsidRPr="006175EC">
        <w:rPr>
          <w:rFonts w:ascii="Bookman Old Style" w:hAnsi="Bookman Old Style"/>
        </w:rPr>
        <w:t>costituiscono  una</w:t>
      </w:r>
      <w:proofErr w:type="gramEnd"/>
      <w:r w:rsidR="00697531" w:rsidRPr="006175EC">
        <w:rPr>
          <w:rFonts w:ascii="Bookman Old Style" w:hAnsi="Bookman Old Style"/>
        </w:rPr>
        <w:t xml:space="preserve"> evidente lesione dell’autonomia </w:t>
      </w:r>
      <w:r w:rsidRPr="006175EC">
        <w:rPr>
          <w:rFonts w:ascii="Bookman Old Style" w:hAnsi="Bookman Old Style"/>
        </w:rPr>
        <w:t xml:space="preserve">regolamentare riconosciuta agli enti </w:t>
      </w:r>
      <w:r w:rsidR="00697531" w:rsidRPr="006175EC">
        <w:rPr>
          <w:rFonts w:ascii="Bookman Old Style" w:hAnsi="Bookman Old Style"/>
        </w:rPr>
        <w:t xml:space="preserve">locali in materia di contabilità ed organizzazione delle proprie attività. </w:t>
      </w:r>
      <w:r w:rsidR="00162C9A" w:rsidRPr="006175EC">
        <w:rPr>
          <w:rFonts w:ascii="Bookman Old Style" w:hAnsi="Bookman Old Style"/>
        </w:rPr>
        <w:t>L</w:t>
      </w:r>
      <w:r w:rsidRPr="006175EC">
        <w:rPr>
          <w:rFonts w:ascii="Bookman Old Style" w:hAnsi="Bookman Old Style"/>
        </w:rPr>
        <w:t>’indicazione analitica e puntuale della tempistica entro la quale è definito ogni singolo passaggio</w:t>
      </w:r>
      <w:r w:rsidR="00162C9A" w:rsidRPr="006175EC">
        <w:rPr>
          <w:rFonts w:ascii="Bookman Old Style" w:hAnsi="Bookman Old Style"/>
        </w:rPr>
        <w:t xml:space="preserve"> confligge con la miriade di situazioni locali diversificate che – anche a parità di tempestivo risultato possono alterare </w:t>
      </w:r>
      <w:r w:rsidR="004C5A88" w:rsidRPr="006175EC">
        <w:rPr>
          <w:rFonts w:ascii="Bookman Old Style" w:hAnsi="Bookman Old Style"/>
        </w:rPr>
        <w:t>il circuito interno che porta alla deliberazione del bilancio di previsione</w:t>
      </w:r>
      <w:r w:rsidRPr="006175EC">
        <w:rPr>
          <w:rFonts w:ascii="Bookman Old Style" w:hAnsi="Bookman Old Style"/>
        </w:rPr>
        <w:t>. Gli enti locali</w:t>
      </w:r>
      <w:r w:rsidR="004C0AC4" w:rsidRPr="006175EC">
        <w:rPr>
          <w:rFonts w:ascii="Bookman Old Style" w:hAnsi="Bookman Old Style"/>
        </w:rPr>
        <w:t xml:space="preserve">, </w:t>
      </w:r>
      <w:r w:rsidR="00E72DB4" w:rsidRPr="006175EC">
        <w:rPr>
          <w:rFonts w:ascii="Bookman Old Style" w:hAnsi="Bookman Old Style"/>
        </w:rPr>
        <w:t xml:space="preserve">in base all’articolo 152 del TUEL, </w:t>
      </w:r>
      <w:r w:rsidRPr="006175EC">
        <w:rPr>
          <w:rFonts w:ascii="Bookman Old Style" w:hAnsi="Bookman Old Style"/>
        </w:rPr>
        <w:t xml:space="preserve">si sono da tempo dotati di regolamenti </w:t>
      </w:r>
      <w:r w:rsidR="004C5A88" w:rsidRPr="006175EC">
        <w:rPr>
          <w:rFonts w:ascii="Bookman Old Style" w:hAnsi="Bookman Old Style"/>
        </w:rPr>
        <w:t xml:space="preserve">di contabilità e di funzionamento degli organi </w:t>
      </w:r>
      <w:r w:rsidRPr="006175EC">
        <w:rPr>
          <w:rFonts w:ascii="Bookman Old Style" w:hAnsi="Bookman Old Style"/>
        </w:rPr>
        <w:t>consiliari che fissano, nel rispetto d</w:t>
      </w:r>
      <w:r w:rsidR="004C5A88" w:rsidRPr="006175EC">
        <w:rPr>
          <w:rFonts w:ascii="Bookman Old Style" w:hAnsi="Bookman Old Style"/>
        </w:rPr>
        <w:t>e</w:t>
      </w:r>
      <w:r w:rsidRPr="006175EC">
        <w:rPr>
          <w:rFonts w:ascii="Bookman Old Style" w:hAnsi="Bookman Old Style"/>
        </w:rPr>
        <w:t xml:space="preserve">i reciproci ruoli, tempi e modi di presentazione dei documenti contabili e </w:t>
      </w:r>
      <w:r w:rsidR="004C5A88" w:rsidRPr="006175EC">
        <w:rPr>
          <w:rFonts w:ascii="Bookman Old Style" w:hAnsi="Bookman Old Style"/>
        </w:rPr>
        <w:t xml:space="preserve">i </w:t>
      </w:r>
      <w:r w:rsidRPr="006175EC">
        <w:rPr>
          <w:rFonts w:ascii="Bookman Old Style" w:hAnsi="Bookman Old Style"/>
        </w:rPr>
        <w:t xml:space="preserve">rapporti tra funzionari/dirigenti, Giunta e Consiglio </w:t>
      </w:r>
      <w:r w:rsidR="007242F7">
        <w:rPr>
          <w:rFonts w:ascii="Bookman Old Style" w:hAnsi="Bookman Old Style"/>
        </w:rPr>
        <w:t>c</w:t>
      </w:r>
      <w:r w:rsidR="007242F7" w:rsidRPr="006175EC">
        <w:rPr>
          <w:rFonts w:ascii="Bookman Old Style" w:hAnsi="Bookman Old Style"/>
        </w:rPr>
        <w:t>omunale</w:t>
      </w:r>
      <w:r w:rsidRPr="006175EC">
        <w:rPr>
          <w:rFonts w:ascii="Bookman Old Style" w:hAnsi="Bookman Old Style"/>
        </w:rPr>
        <w:t xml:space="preserve">. Lo spazio che il nuovo principio riserva all’autonomia regolamentare, al contrario, è limitato alla definizione di modalità e tempi con i quali </w:t>
      </w:r>
      <w:r w:rsidR="00F3530F" w:rsidRPr="006175EC">
        <w:rPr>
          <w:rFonts w:ascii="Bookman Old Style" w:hAnsi="Bookman Old Style"/>
        </w:rPr>
        <w:t xml:space="preserve">il Segretario </w:t>
      </w:r>
      <w:r w:rsidR="007242F7">
        <w:rPr>
          <w:rFonts w:ascii="Bookman Old Style" w:hAnsi="Bookman Old Style"/>
        </w:rPr>
        <w:t>c</w:t>
      </w:r>
      <w:r w:rsidR="00F3530F" w:rsidRPr="006175EC">
        <w:rPr>
          <w:rFonts w:ascii="Bookman Old Style" w:hAnsi="Bookman Old Style"/>
        </w:rPr>
        <w:t xml:space="preserve">omunale trasmette </w:t>
      </w:r>
      <w:r w:rsidRPr="006175EC">
        <w:rPr>
          <w:rFonts w:ascii="Bookman Old Style" w:hAnsi="Bookman Old Style"/>
        </w:rPr>
        <w:t xml:space="preserve">al Consiglio </w:t>
      </w:r>
      <w:r w:rsidR="00773AC8">
        <w:rPr>
          <w:rFonts w:ascii="Bookman Old Style" w:hAnsi="Bookman Old Style"/>
        </w:rPr>
        <w:t>c</w:t>
      </w:r>
      <w:r w:rsidR="00773AC8" w:rsidRPr="006175EC">
        <w:rPr>
          <w:rFonts w:ascii="Bookman Old Style" w:hAnsi="Bookman Old Style"/>
        </w:rPr>
        <w:t xml:space="preserve">omunale </w:t>
      </w:r>
      <w:r w:rsidRPr="006175EC">
        <w:rPr>
          <w:rFonts w:ascii="Bookman Old Style" w:hAnsi="Bookman Old Style"/>
        </w:rPr>
        <w:t>la relazione dell’Organo di revisione, che riporta il parere sullo schema del bilancio di previsione.</w:t>
      </w:r>
    </w:p>
    <w:p w14:paraId="662CF921" w14:textId="6F2F5998" w:rsidR="001D6A8E" w:rsidRPr="006175EC" w:rsidRDefault="001D6A8E" w:rsidP="006175EC">
      <w:pPr>
        <w:pStyle w:val="Paragrafoelenco"/>
        <w:numPr>
          <w:ilvl w:val="0"/>
          <w:numId w:val="3"/>
        </w:numPr>
        <w:jc w:val="both"/>
        <w:rPr>
          <w:rFonts w:asciiTheme="majorHAnsi" w:eastAsiaTheme="majorEastAsia" w:hAnsiTheme="majorHAnsi" w:cstheme="majorBidi"/>
          <w:b/>
          <w:bCs/>
          <w:color w:val="2F5496" w:themeColor="accent1" w:themeShade="BF"/>
          <w:sz w:val="26"/>
          <w:szCs w:val="26"/>
        </w:rPr>
      </w:pPr>
      <w:r w:rsidRPr="006175EC">
        <w:rPr>
          <w:rFonts w:asciiTheme="majorHAnsi" w:eastAsiaTheme="majorEastAsia" w:hAnsiTheme="majorHAnsi" w:cstheme="majorBidi"/>
          <w:b/>
          <w:bCs/>
          <w:color w:val="2F5496" w:themeColor="accent1" w:themeShade="BF"/>
          <w:sz w:val="26"/>
          <w:szCs w:val="26"/>
        </w:rPr>
        <w:t>Le nuove norme e i casi di proroga dei termini del bilancio di previsione</w:t>
      </w:r>
    </w:p>
    <w:p w14:paraId="1CE02107" w14:textId="1E11E0E0" w:rsidR="00956BBC" w:rsidRPr="006175EC" w:rsidRDefault="006913CE" w:rsidP="00BC5A95">
      <w:pPr>
        <w:jc w:val="both"/>
        <w:rPr>
          <w:rFonts w:ascii="Bookman Old Style" w:hAnsi="Bookman Old Style" w:cstheme="minorHAnsi"/>
        </w:rPr>
      </w:pPr>
      <w:r w:rsidRPr="006175EC">
        <w:rPr>
          <w:rFonts w:ascii="Bookman Old Style" w:hAnsi="Bookman Old Style" w:cstheme="minorHAnsi"/>
        </w:rPr>
        <w:t xml:space="preserve">Il decreto si spinge poi a </w:t>
      </w:r>
      <w:r w:rsidR="00C55AB4" w:rsidRPr="006175EC">
        <w:rPr>
          <w:rFonts w:ascii="Bookman Old Style" w:hAnsi="Bookman Old Style" w:cstheme="minorHAnsi"/>
        </w:rPr>
        <w:t>limitare</w:t>
      </w:r>
      <w:r w:rsidRPr="006175EC">
        <w:rPr>
          <w:rFonts w:ascii="Bookman Old Style" w:hAnsi="Bookman Old Style" w:cstheme="minorHAnsi"/>
        </w:rPr>
        <w:t xml:space="preserve"> l’efficacia delle proroghe dei termini </w:t>
      </w:r>
      <w:r w:rsidR="00493842" w:rsidRPr="006175EC">
        <w:rPr>
          <w:rFonts w:ascii="Bookman Old Style" w:hAnsi="Bookman Old Style" w:cstheme="minorHAnsi"/>
        </w:rPr>
        <w:t xml:space="preserve">disposte secondo le previsioni di legge </w:t>
      </w:r>
      <w:r w:rsidR="00956BBC" w:rsidRPr="006175EC">
        <w:rPr>
          <w:rFonts w:ascii="Bookman Old Style" w:hAnsi="Bookman Old Style" w:cstheme="minorHAnsi"/>
        </w:rPr>
        <w:t xml:space="preserve">a seconda della </w:t>
      </w:r>
      <w:r w:rsidR="00474F6F" w:rsidRPr="006175EC">
        <w:rPr>
          <w:rFonts w:ascii="Bookman Old Style" w:hAnsi="Bookman Old Style" w:cstheme="minorHAnsi"/>
        </w:rPr>
        <w:t xml:space="preserve">particolare e specifica condizione </w:t>
      </w:r>
      <w:r w:rsidR="00956BBC" w:rsidRPr="006175EC">
        <w:rPr>
          <w:rFonts w:ascii="Bookman Old Style" w:hAnsi="Bookman Old Style" w:cstheme="minorHAnsi"/>
        </w:rPr>
        <w:t>di ciascun ente</w:t>
      </w:r>
      <w:r w:rsidR="00474F6F" w:rsidRPr="006175EC">
        <w:rPr>
          <w:rFonts w:ascii="Bookman Old Style" w:hAnsi="Bookman Old Style" w:cstheme="minorHAnsi"/>
        </w:rPr>
        <w:t>, con un evidente eccesso di potere rispetto alle potestà del Ministro dell’Interno e del Parlamento</w:t>
      </w:r>
      <w:r w:rsidR="005A076D" w:rsidRPr="006175EC">
        <w:rPr>
          <w:rFonts w:ascii="Bookman Old Style" w:hAnsi="Bookman Old Style" w:cstheme="minorHAnsi"/>
        </w:rPr>
        <w:t xml:space="preserve">. Il punto 9.3.6 pretende di limitare tali </w:t>
      </w:r>
      <w:proofErr w:type="gramStart"/>
      <w:r w:rsidR="005A076D" w:rsidRPr="006175EC">
        <w:rPr>
          <w:rFonts w:ascii="Bookman Old Style" w:hAnsi="Bookman Old Style" w:cstheme="minorHAnsi"/>
        </w:rPr>
        <w:t xml:space="preserve">potestà </w:t>
      </w:r>
      <w:r w:rsidR="007A0A51" w:rsidRPr="006175EC">
        <w:rPr>
          <w:rFonts w:ascii="Bookman Old Style" w:hAnsi="Bookman Old Style" w:cstheme="minorHAnsi"/>
        </w:rPr>
        <w:t xml:space="preserve"> </w:t>
      </w:r>
      <w:r w:rsidR="00627D1E" w:rsidRPr="006175EC">
        <w:rPr>
          <w:rFonts w:ascii="Bookman Old Style" w:hAnsi="Bookman Old Style" w:cstheme="minorHAnsi"/>
        </w:rPr>
        <w:t>prescrivendo</w:t>
      </w:r>
      <w:proofErr w:type="gramEnd"/>
      <w:r w:rsidR="00627D1E" w:rsidRPr="006175EC">
        <w:rPr>
          <w:rFonts w:ascii="Bookman Old Style" w:hAnsi="Bookman Old Style" w:cstheme="minorHAnsi"/>
        </w:rPr>
        <w:t xml:space="preserve"> un adempimento ultroneo </w:t>
      </w:r>
      <w:r w:rsidR="00A374F7" w:rsidRPr="006175EC">
        <w:rPr>
          <w:rFonts w:ascii="Bookman Old Style" w:hAnsi="Bookman Old Style" w:cstheme="minorHAnsi"/>
        </w:rPr>
        <w:t xml:space="preserve">che obbligherebbe i Consigli </w:t>
      </w:r>
      <w:r w:rsidR="0045614A">
        <w:rPr>
          <w:rFonts w:ascii="Bookman Old Style" w:hAnsi="Bookman Old Style" w:cstheme="minorHAnsi"/>
        </w:rPr>
        <w:t>c</w:t>
      </w:r>
      <w:r w:rsidR="00A374F7" w:rsidRPr="006175EC">
        <w:rPr>
          <w:rFonts w:ascii="Bookman Old Style" w:hAnsi="Bookman Old Style" w:cstheme="minorHAnsi"/>
        </w:rPr>
        <w:t>omunal</w:t>
      </w:r>
      <w:r w:rsidR="00E638D4" w:rsidRPr="006175EC">
        <w:rPr>
          <w:rFonts w:ascii="Bookman Old Style" w:hAnsi="Bookman Old Style" w:cstheme="minorHAnsi"/>
        </w:rPr>
        <w:t>i</w:t>
      </w:r>
      <w:r w:rsidR="00A374F7" w:rsidRPr="006175EC">
        <w:rPr>
          <w:rFonts w:ascii="Bookman Old Style" w:hAnsi="Bookman Old Style" w:cstheme="minorHAnsi"/>
        </w:rPr>
        <w:t xml:space="preserve"> a </w:t>
      </w:r>
      <w:r w:rsidR="00E638D4" w:rsidRPr="006175EC">
        <w:rPr>
          <w:rFonts w:ascii="Bookman Old Style" w:hAnsi="Bookman Old Style" w:cstheme="minorHAnsi"/>
        </w:rPr>
        <w:t>dover deliberare</w:t>
      </w:r>
      <w:r w:rsidR="001B4FC9" w:rsidRPr="006175EC">
        <w:rPr>
          <w:rFonts w:ascii="Bookman Old Style" w:hAnsi="Bookman Old Style" w:cstheme="minorHAnsi"/>
        </w:rPr>
        <w:t xml:space="preserve"> </w:t>
      </w:r>
      <w:r w:rsidR="008105AA" w:rsidRPr="006175EC">
        <w:rPr>
          <w:rFonts w:ascii="Bookman Old Style" w:hAnsi="Bookman Old Style" w:cstheme="minorHAnsi"/>
        </w:rPr>
        <w:t xml:space="preserve">e motivare </w:t>
      </w:r>
      <w:r w:rsidR="001A2544" w:rsidRPr="006175EC">
        <w:rPr>
          <w:rFonts w:ascii="Bookman Old Style" w:hAnsi="Bookman Old Style" w:cstheme="minorHAnsi"/>
        </w:rPr>
        <w:t>quanto già previsto in un decreto ministeriale.</w:t>
      </w:r>
    </w:p>
    <w:p w14:paraId="55FA3985" w14:textId="7F8669EA" w:rsidR="00956BBC" w:rsidRPr="006175EC" w:rsidRDefault="00956BBC" w:rsidP="00BC5A95">
      <w:pPr>
        <w:jc w:val="both"/>
        <w:rPr>
          <w:rFonts w:ascii="Bookman Old Style" w:hAnsi="Bookman Old Style"/>
        </w:rPr>
      </w:pPr>
      <w:r w:rsidRPr="006175EC">
        <w:rPr>
          <w:rFonts w:ascii="Bookman Old Style" w:hAnsi="Bookman Old Style"/>
        </w:rPr>
        <w:t>Si tratta, come si ricorderà della facoltà riservata al Ministro dell’interno ex art. 151 TUEL</w:t>
      </w:r>
      <w:r w:rsidR="00B71810" w:rsidRPr="006175EC">
        <w:rPr>
          <w:rFonts w:ascii="Bookman Old Style" w:hAnsi="Bookman Old Style"/>
        </w:rPr>
        <w:t xml:space="preserve">, nonché della possibilità che sia la legge stessa a disporre proroghe </w:t>
      </w:r>
      <w:r w:rsidR="005B79E0" w:rsidRPr="006175EC">
        <w:rPr>
          <w:rFonts w:ascii="Bookman Old Style" w:hAnsi="Bookman Old Style"/>
        </w:rPr>
        <w:t>con o senza condizionalità specifiche. Tali procedimenti di proroga hanno in passato registrato solo qualche caso di limitazione a particolari categorie di enti locali</w:t>
      </w:r>
      <w:r w:rsidR="006463C8" w:rsidRPr="006175EC">
        <w:rPr>
          <w:rFonts w:ascii="Bookman Old Style" w:hAnsi="Bookman Old Style"/>
        </w:rPr>
        <w:t>. Nella gran parte dei casi le difficoltà e gli impedimenti alla deliberazione del bilancio entro i termini prestabiliti sono stati considerati di carattere generale e rivolti indistintamente a tutti gli enti locali.</w:t>
      </w:r>
      <w:r w:rsidR="005B79E0" w:rsidRPr="006175EC">
        <w:rPr>
          <w:rFonts w:ascii="Bookman Old Style" w:hAnsi="Bookman Old Style"/>
        </w:rPr>
        <w:t xml:space="preserve"> </w:t>
      </w:r>
    </w:p>
    <w:p w14:paraId="0A402FCF" w14:textId="2A68C283" w:rsidR="00333D83" w:rsidRDefault="00A9715B" w:rsidP="00BC5A95">
      <w:pPr>
        <w:jc w:val="both"/>
        <w:rPr>
          <w:rFonts w:ascii="Bookman Old Style" w:hAnsi="Bookman Old Style"/>
        </w:rPr>
      </w:pPr>
      <w:r w:rsidRPr="006175EC">
        <w:rPr>
          <w:rFonts w:ascii="Bookman Old Style" w:hAnsi="Bookman Old Style"/>
        </w:rPr>
        <w:t xml:space="preserve">Ciò rappresenta una grave </w:t>
      </w:r>
      <w:r w:rsidR="005D1283" w:rsidRPr="006175EC">
        <w:rPr>
          <w:rFonts w:ascii="Bookman Old Style" w:hAnsi="Bookman Old Style"/>
        </w:rPr>
        <w:t xml:space="preserve">lesione all’autonomia degli enti </w:t>
      </w:r>
      <w:r w:rsidR="00D82BB3">
        <w:rPr>
          <w:rFonts w:ascii="Bookman Old Style" w:hAnsi="Bookman Old Style"/>
        </w:rPr>
        <w:t xml:space="preserve">nell’applicazione di norme nazionali </w:t>
      </w:r>
      <w:r w:rsidR="00914247" w:rsidRPr="006175EC">
        <w:rPr>
          <w:rFonts w:ascii="Bookman Old Style" w:hAnsi="Bookman Old Style"/>
        </w:rPr>
        <w:t xml:space="preserve">e </w:t>
      </w:r>
      <w:r w:rsidR="005B09D2" w:rsidRPr="006175EC">
        <w:rPr>
          <w:rFonts w:ascii="Bookman Old Style" w:hAnsi="Bookman Old Style"/>
        </w:rPr>
        <w:t xml:space="preserve">fa quasi supporre che una disposizione </w:t>
      </w:r>
      <w:r w:rsidR="006157F8">
        <w:rPr>
          <w:rFonts w:ascii="Bookman Old Style" w:hAnsi="Bookman Old Style"/>
        </w:rPr>
        <w:t xml:space="preserve">derivante dalla normativa primaria </w:t>
      </w:r>
      <w:r w:rsidR="005B09D2" w:rsidRPr="006175EC">
        <w:rPr>
          <w:rFonts w:ascii="Bookman Old Style" w:hAnsi="Bookman Old Style"/>
        </w:rPr>
        <w:t xml:space="preserve">non possa essere applicata, per qualsiasi ragione, da parte degli enti destinatari della </w:t>
      </w:r>
      <w:r w:rsidR="005B09D2" w:rsidRPr="006175EC">
        <w:rPr>
          <w:rFonts w:ascii="Bookman Old Style" w:hAnsi="Bookman Old Style"/>
        </w:rPr>
        <w:lastRenderedPageBreak/>
        <w:t xml:space="preserve">disposizione </w:t>
      </w:r>
      <w:r w:rsidR="006157F8" w:rsidRPr="006175EC">
        <w:rPr>
          <w:rFonts w:ascii="Bookman Old Style" w:hAnsi="Bookman Old Style"/>
        </w:rPr>
        <w:t>stess</w:t>
      </w:r>
      <w:r w:rsidR="006157F8">
        <w:rPr>
          <w:rFonts w:ascii="Bookman Old Style" w:hAnsi="Bookman Old Style"/>
        </w:rPr>
        <w:t>a</w:t>
      </w:r>
      <w:r w:rsidR="00333D83" w:rsidRPr="006175EC">
        <w:rPr>
          <w:rFonts w:ascii="Bookman Old Style" w:hAnsi="Bookman Old Style"/>
        </w:rPr>
        <w:t>.</w:t>
      </w:r>
      <w:r w:rsidR="002A0384">
        <w:rPr>
          <w:rFonts w:ascii="Bookman Old Style" w:hAnsi="Bookman Old Style"/>
        </w:rPr>
        <w:t xml:space="preserve"> </w:t>
      </w:r>
      <w:r w:rsidR="00333D83" w:rsidRPr="006175EC">
        <w:rPr>
          <w:rFonts w:ascii="Bookman Old Style" w:hAnsi="Bookman Old Style"/>
        </w:rPr>
        <w:t xml:space="preserve">Si tratta di </w:t>
      </w:r>
      <w:r w:rsidR="00F6476D" w:rsidRPr="006175EC">
        <w:rPr>
          <w:rFonts w:ascii="Bookman Old Style" w:hAnsi="Bookman Old Style"/>
        </w:rPr>
        <w:t>un</w:t>
      </w:r>
      <w:r w:rsidR="00F6476D">
        <w:rPr>
          <w:rFonts w:ascii="Bookman Old Style" w:hAnsi="Bookman Old Style"/>
        </w:rPr>
        <w:t>’</w:t>
      </w:r>
      <w:r w:rsidR="00401422" w:rsidRPr="006175EC">
        <w:rPr>
          <w:rFonts w:ascii="Bookman Old Style" w:hAnsi="Bookman Old Style"/>
        </w:rPr>
        <w:t xml:space="preserve">incursione </w:t>
      </w:r>
      <w:r w:rsidR="00333D83" w:rsidRPr="006175EC">
        <w:rPr>
          <w:rFonts w:ascii="Bookman Old Style" w:hAnsi="Bookman Old Style"/>
        </w:rPr>
        <w:t xml:space="preserve">inaccettabile </w:t>
      </w:r>
      <w:r w:rsidR="00401422" w:rsidRPr="006175EC">
        <w:rPr>
          <w:rFonts w:ascii="Bookman Old Style" w:hAnsi="Bookman Old Style"/>
        </w:rPr>
        <w:t xml:space="preserve">nell’ordinamento attraverso uno strumento amministrativo per sua natura improprio, </w:t>
      </w:r>
      <w:r w:rsidR="00333D83" w:rsidRPr="006175EC">
        <w:rPr>
          <w:rFonts w:ascii="Bookman Old Style" w:hAnsi="Bookman Old Style"/>
        </w:rPr>
        <w:t>che non dubitiamo troverà automatica disapplicazione in caso di proroghe non soggette a specifiche condizionalità.</w:t>
      </w:r>
    </w:p>
    <w:p w14:paraId="39865BB9" w14:textId="77777777" w:rsidR="00090BD7" w:rsidRDefault="00090BD7" w:rsidP="00BC5A95">
      <w:pPr>
        <w:jc w:val="both"/>
      </w:pPr>
    </w:p>
    <w:p w14:paraId="3C0BBD68" w14:textId="0E13851E" w:rsidR="00090BD7" w:rsidRPr="00134DC0" w:rsidRDefault="00090BD7" w:rsidP="00134DC0">
      <w:pPr>
        <w:pStyle w:val="Titolo2"/>
        <w:rPr>
          <w:b/>
          <w:bCs/>
        </w:rPr>
      </w:pPr>
      <w:r w:rsidRPr="00134DC0">
        <w:rPr>
          <w:b/>
          <w:bCs/>
        </w:rPr>
        <w:t>Conclusion</w:t>
      </w:r>
      <w:r w:rsidR="00134DC0">
        <w:rPr>
          <w:b/>
          <w:bCs/>
        </w:rPr>
        <w:t>i</w:t>
      </w:r>
      <w:r w:rsidRPr="00134DC0">
        <w:rPr>
          <w:b/>
          <w:bCs/>
        </w:rPr>
        <w:t xml:space="preserve"> </w:t>
      </w:r>
    </w:p>
    <w:p w14:paraId="5D38DEE5" w14:textId="69CBF00C" w:rsidR="00247ACE" w:rsidRDefault="00090BD7" w:rsidP="00BC5A95">
      <w:pPr>
        <w:jc w:val="both"/>
        <w:rPr>
          <w:rFonts w:ascii="Bookman Old Style" w:hAnsi="Bookman Old Style"/>
        </w:rPr>
      </w:pPr>
      <w:r w:rsidRPr="00F06E2C">
        <w:rPr>
          <w:rFonts w:ascii="Bookman Old Style" w:hAnsi="Bookman Old Style"/>
        </w:rPr>
        <w:t xml:space="preserve">La persistenza di un significativo numero di enti locali </w:t>
      </w:r>
      <w:r w:rsidR="00C47A49" w:rsidRPr="00F06E2C">
        <w:rPr>
          <w:rFonts w:ascii="Bookman Old Style" w:hAnsi="Bookman Old Style"/>
        </w:rPr>
        <w:t>che non arrivano a presentare il bilancio nei termini stabiliti e il correlato</w:t>
      </w:r>
      <w:r w:rsidR="00B602C6" w:rsidRPr="00F06E2C">
        <w:rPr>
          <w:rFonts w:ascii="Bookman Old Style" w:hAnsi="Bookman Old Style"/>
        </w:rPr>
        <w:t xml:space="preserve"> </w:t>
      </w:r>
      <w:r w:rsidR="00C47A49" w:rsidRPr="00F06E2C">
        <w:rPr>
          <w:rFonts w:ascii="Bookman Old Style" w:hAnsi="Bookman Old Style"/>
        </w:rPr>
        <w:t xml:space="preserve">intervento </w:t>
      </w:r>
      <w:r w:rsidR="00472F56" w:rsidRPr="00F06E2C">
        <w:rPr>
          <w:rFonts w:ascii="Bookman Old Style" w:hAnsi="Bookman Old Style"/>
        </w:rPr>
        <w:t xml:space="preserve">di proroga del legislatore o del Ministro dell’interno </w:t>
      </w:r>
      <w:r w:rsidR="00B602C6" w:rsidRPr="00F06E2C">
        <w:rPr>
          <w:rFonts w:ascii="Bookman Old Style" w:hAnsi="Bookman Old Style"/>
        </w:rPr>
        <w:t xml:space="preserve">sono fenomeni continuativi </w:t>
      </w:r>
      <w:r w:rsidR="00202F1A" w:rsidRPr="00F06E2C">
        <w:rPr>
          <w:rFonts w:ascii="Bookman Old Style" w:hAnsi="Bookman Old Style"/>
        </w:rPr>
        <w:t>rilevabili in modo si</w:t>
      </w:r>
      <w:r w:rsidR="000A7735" w:rsidRPr="00F06E2C">
        <w:rPr>
          <w:rFonts w:ascii="Bookman Old Style" w:hAnsi="Bookman Old Style"/>
        </w:rPr>
        <w:t>s</w:t>
      </w:r>
      <w:r w:rsidR="00202F1A" w:rsidRPr="00F06E2C">
        <w:rPr>
          <w:rFonts w:ascii="Bookman Old Style" w:hAnsi="Bookman Old Style"/>
        </w:rPr>
        <w:t xml:space="preserve">tematico </w:t>
      </w:r>
      <w:r w:rsidR="000A7735" w:rsidRPr="00F06E2C">
        <w:rPr>
          <w:rFonts w:ascii="Bookman Old Style" w:hAnsi="Bookman Old Style"/>
        </w:rPr>
        <w:t>nel corso dei decenni.</w:t>
      </w:r>
      <w:r w:rsidR="005449E5" w:rsidRPr="00F06E2C">
        <w:rPr>
          <w:rFonts w:ascii="Bookman Old Style" w:hAnsi="Bookman Old Style"/>
        </w:rPr>
        <w:t xml:space="preserve"> Nessun ente locale ha interesse a prolungare </w:t>
      </w:r>
      <w:r w:rsidR="00091BFE" w:rsidRPr="00F06E2C">
        <w:rPr>
          <w:rFonts w:ascii="Bookman Old Style" w:hAnsi="Bookman Old Style"/>
        </w:rPr>
        <w:t xml:space="preserve">i tempi di formazione del bilancio se non per verificare le condizioni normative e finanziarie nelle quali esso deve collocarsi, condizioni che – come è ben noto – </w:t>
      </w:r>
      <w:r w:rsidR="000D2CB4" w:rsidRPr="00F06E2C">
        <w:rPr>
          <w:rFonts w:ascii="Bookman Old Style" w:hAnsi="Bookman Old Style"/>
        </w:rPr>
        <w:t>restano incerte quasi sempre fino alla fine dell’anno precedente, se non</w:t>
      </w:r>
      <w:r w:rsidR="00247ACE">
        <w:rPr>
          <w:rFonts w:ascii="Bookman Old Style" w:hAnsi="Bookman Old Style"/>
        </w:rPr>
        <w:t>,</w:t>
      </w:r>
      <w:r w:rsidR="000D2CB4" w:rsidRPr="00F06E2C">
        <w:rPr>
          <w:rFonts w:ascii="Bookman Old Style" w:hAnsi="Bookman Old Style"/>
        </w:rPr>
        <w:t xml:space="preserve"> come è molto spesso avvenuto</w:t>
      </w:r>
      <w:r w:rsidR="00247ACE">
        <w:rPr>
          <w:rFonts w:ascii="Bookman Old Style" w:hAnsi="Bookman Old Style"/>
        </w:rPr>
        <w:t>,</w:t>
      </w:r>
      <w:r w:rsidR="00091BFE" w:rsidRPr="00F06E2C">
        <w:rPr>
          <w:rFonts w:ascii="Bookman Old Style" w:hAnsi="Bookman Old Style"/>
        </w:rPr>
        <w:t xml:space="preserve"> </w:t>
      </w:r>
      <w:r w:rsidR="00247ACE">
        <w:rPr>
          <w:rFonts w:ascii="Bookman Old Style" w:hAnsi="Bookman Old Style"/>
        </w:rPr>
        <w:t>fino a provvedimenti dei primi mesi dell’anno successivo.</w:t>
      </w:r>
    </w:p>
    <w:p w14:paraId="0EB9F88B" w14:textId="6D1B2DAF" w:rsidR="00090BD7" w:rsidRDefault="00C63AC3" w:rsidP="00BC5A95">
      <w:pPr>
        <w:jc w:val="both"/>
        <w:rPr>
          <w:rFonts w:ascii="Bookman Old Style" w:hAnsi="Bookman Old Style"/>
        </w:rPr>
      </w:pPr>
      <w:r>
        <w:rPr>
          <w:rFonts w:ascii="Bookman Old Style" w:hAnsi="Bookman Old Style"/>
        </w:rPr>
        <w:t xml:space="preserve">La proroga dei termini di deliberazione </w:t>
      </w:r>
      <w:r w:rsidR="00A217FA">
        <w:rPr>
          <w:rFonts w:ascii="Bookman Old Style" w:hAnsi="Bookman Old Style"/>
        </w:rPr>
        <w:t xml:space="preserve">dei bilanci è quindi correlata per un’ampia minoranza di Comuni </w:t>
      </w:r>
      <w:r w:rsidR="005558FF">
        <w:rPr>
          <w:rFonts w:ascii="Bookman Old Style" w:hAnsi="Bookman Old Style"/>
        </w:rPr>
        <w:t>alla mancata soluzione di problematiche strutturali fortemente acuite dai drammatici tagli seguiti alla crisi del debito sovrano</w:t>
      </w:r>
      <w:r w:rsidR="00BF012F">
        <w:rPr>
          <w:rFonts w:ascii="Bookman Old Style" w:hAnsi="Bookman Old Style"/>
        </w:rPr>
        <w:t xml:space="preserve">, nello scorso decennio, da </w:t>
      </w:r>
      <w:r w:rsidR="005B175B">
        <w:rPr>
          <w:rFonts w:ascii="Bookman Old Style" w:hAnsi="Bookman Old Style"/>
        </w:rPr>
        <w:t xml:space="preserve">una </w:t>
      </w:r>
      <w:r w:rsidR="00BF012F">
        <w:rPr>
          <w:rFonts w:ascii="Bookman Old Style" w:hAnsi="Bookman Old Style"/>
        </w:rPr>
        <w:t>perequazione</w:t>
      </w:r>
      <w:r w:rsidR="005B175B">
        <w:rPr>
          <w:rFonts w:ascii="Bookman Old Style" w:hAnsi="Bookman Old Style"/>
        </w:rPr>
        <w:t>,</w:t>
      </w:r>
      <w:r w:rsidR="00BF012F">
        <w:rPr>
          <w:rFonts w:ascii="Bookman Old Style" w:hAnsi="Bookman Old Style"/>
        </w:rPr>
        <w:t xml:space="preserve"> </w:t>
      </w:r>
      <w:r w:rsidR="005B175B">
        <w:rPr>
          <w:rFonts w:ascii="Bookman Old Style" w:hAnsi="Bookman Old Style"/>
        </w:rPr>
        <w:t xml:space="preserve">avviata dal </w:t>
      </w:r>
      <w:r w:rsidR="00FA075B">
        <w:rPr>
          <w:rFonts w:ascii="Bookman Old Style" w:hAnsi="Bookman Old Style"/>
        </w:rPr>
        <w:t>2015, distorta in quanto non finanziata dallo Stato</w:t>
      </w:r>
      <w:r w:rsidR="00F42D2C">
        <w:rPr>
          <w:rFonts w:ascii="Bookman Old Style" w:hAnsi="Bookman Old Style"/>
        </w:rPr>
        <w:t>,</w:t>
      </w:r>
      <w:r w:rsidR="00FA075B">
        <w:rPr>
          <w:rFonts w:ascii="Bookman Old Style" w:hAnsi="Bookman Old Style"/>
        </w:rPr>
        <w:t xml:space="preserve"> e </w:t>
      </w:r>
      <w:r w:rsidR="00F42D2C">
        <w:rPr>
          <w:rFonts w:ascii="Bookman Old Style" w:hAnsi="Bookman Old Style"/>
        </w:rPr>
        <w:t xml:space="preserve">dalle </w:t>
      </w:r>
      <w:r w:rsidR="00552360">
        <w:rPr>
          <w:rFonts w:ascii="Bookman Old Style" w:hAnsi="Bookman Old Style"/>
        </w:rPr>
        <w:t>enormi complicazioni tecniche derivanti dalla riforma contabile</w:t>
      </w:r>
      <w:r w:rsidR="00843D1A">
        <w:rPr>
          <w:rFonts w:ascii="Bookman Old Style" w:hAnsi="Bookman Old Style"/>
        </w:rPr>
        <w:t xml:space="preserve">, anch’essa attuata senza alcuna considerazione per le diverse condizioni di partenza </w:t>
      </w:r>
      <w:r w:rsidR="006E4C8F">
        <w:rPr>
          <w:rFonts w:ascii="Bookman Old Style" w:hAnsi="Bookman Old Style"/>
        </w:rPr>
        <w:t>finanziarie ed organizzative degli enti locali</w:t>
      </w:r>
      <w:r w:rsidR="005759D4">
        <w:rPr>
          <w:rFonts w:ascii="Bookman Old Style" w:hAnsi="Bookman Old Style"/>
        </w:rPr>
        <w:t>.</w:t>
      </w:r>
    </w:p>
    <w:p w14:paraId="23D34F8E" w14:textId="77777777" w:rsidR="006B17B8" w:rsidRDefault="00AD6D27" w:rsidP="00BC5A95">
      <w:pPr>
        <w:jc w:val="both"/>
        <w:rPr>
          <w:rFonts w:ascii="Bookman Old Style" w:hAnsi="Bookman Old Style"/>
        </w:rPr>
      </w:pPr>
      <w:r>
        <w:rPr>
          <w:rFonts w:ascii="Bookman Old Style" w:hAnsi="Bookman Old Style"/>
        </w:rPr>
        <w:t xml:space="preserve">La </w:t>
      </w:r>
      <w:r w:rsidR="00316BBB">
        <w:rPr>
          <w:rFonts w:ascii="Bookman Old Style" w:hAnsi="Bookman Old Style"/>
        </w:rPr>
        <w:t xml:space="preserve">strada per </w:t>
      </w:r>
      <w:r>
        <w:rPr>
          <w:rFonts w:ascii="Bookman Old Style" w:hAnsi="Bookman Old Style"/>
        </w:rPr>
        <w:t>risolvere il problema è la soluzione delle problematiche che lo determinano</w:t>
      </w:r>
      <w:r w:rsidR="00DC54DA">
        <w:rPr>
          <w:rFonts w:ascii="Bookman Old Style" w:hAnsi="Bookman Old Style"/>
        </w:rPr>
        <w:t>:</w:t>
      </w:r>
      <w:r w:rsidR="00156666">
        <w:rPr>
          <w:rFonts w:ascii="Bookman Old Style" w:hAnsi="Bookman Old Style"/>
        </w:rPr>
        <w:t xml:space="preserve"> una sessione parlamentare di bilancio dedicata agli enti territoriali che definisca entro settembre il quadro di riferimento per l’anno successivo</w:t>
      </w:r>
      <w:r w:rsidR="00DC54DA">
        <w:rPr>
          <w:rFonts w:ascii="Bookman Old Style" w:hAnsi="Bookman Old Style"/>
        </w:rPr>
        <w:t>; l’assegnazione di risorse adeguate agli enti locali sottodotati che dalla perequazione attuale, se va bene, ottengono solo qualche spicciolo</w:t>
      </w:r>
      <w:r w:rsidR="005F0950">
        <w:rPr>
          <w:rFonts w:ascii="Bookman Old Style" w:hAnsi="Bookman Old Style"/>
        </w:rPr>
        <w:t>; la radicale semplificazione delle regole contabili e dei controlli</w:t>
      </w:r>
      <w:r w:rsidR="00C522C5">
        <w:rPr>
          <w:rFonts w:ascii="Bookman Old Style" w:hAnsi="Bookman Old Style"/>
        </w:rPr>
        <w:t xml:space="preserve">, che oggi assorbono gran parte delle attività degli uffici; la promozione del </w:t>
      </w:r>
      <w:r w:rsidR="00D83E77">
        <w:rPr>
          <w:rFonts w:ascii="Bookman Old Style" w:hAnsi="Bookman Old Style"/>
        </w:rPr>
        <w:t>“</w:t>
      </w:r>
      <w:r w:rsidR="00C522C5">
        <w:rPr>
          <w:rFonts w:ascii="Bookman Old Style" w:hAnsi="Bookman Old Style"/>
        </w:rPr>
        <w:t>ripopolamento</w:t>
      </w:r>
      <w:r w:rsidR="00D83E77">
        <w:rPr>
          <w:rFonts w:ascii="Bookman Old Style" w:hAnsi="Bookman Old Style"/>
        </w:rPr>
        <w:t>”</w:t>
      </w:r>
      <w:r w:rsidR="00C522C5">
        <w:rPr>
          <w:rFonts w:ascii="Bookman Old Style" w:hAnsi="Bookman Old Style"/>
        </w:rPr>
        <w:t xml:space="preserve"> degli uffici </w:t>
      </w:r>
      <w:r w:rsidR="00D83E77">
        <w:rPr>
          <w:rFonts w:ascii="Bookman Old Style" w:hAnsi="Bookman Old Style"/>
        </w:rPr>
        <w:t>comunali</w:t>
      </w:r>
      <w:r w:rsidR="00D5075C">
        <w:rPr>
          <w:rFonts w:ascii="Bookman Old Style" w:hAnsi="Bookman Old Style"/>
        </w:rPr>
        <w:t>, dopo un quindicennio di insostenibili riduzioni (-25%)</w:t>
      </w:r>
      <w:r w:rsidR="006B17B8">
        <w:rPr>
          <w:rFonts w:ascii="Bookman Old Style" w:hAnsi="Bookman Old Style"/>
        </w:rPr>
        <w:t>.</w:t>
      </w:r>
    </w:p>
    <w:p w14:paraId="46074BBF" w14:textId="3078FCA6" w:rsidR="005759D4" w:rsidRDefault="006B17B8" w:rsidP="00BC5A95">
      <w:pPr>
        <w:jc w:val="both"/>
        <w:rPr>
          <w:rFonts w:ascii="Bookman Old Style" w:hAnsi="Bookman Old Style"/>
        </w:rPr>
      </w:pPr>
      <w:r>
        <w:rPr>
          <w:rFonts w:ascii="Bookman Old Style" w:hAnsi="Bookman Old Style"/>
        </w:rPr>
        <w:t xml:space="preserve">È una strada complicata, ma </w:t>
      </w:r>
      <w:r w:rsidR="00CE526E">
        <w:rPr>
          <w:rFonts w:ascii="Bookman Old Style" w:hAnsi="Bookman Old Style"/>
        </w:rPr>
        <w:t>appare vana – oltre che di dubbio rispetto dell’ordinamento fondamentale delle Autonomie – la scorciatoia imboccata con il decreto del 25 luglio</w:t>
      </w:r>
      <w:r w:rsidR="006C3748">
        <w:rPr>
          <w:rFonts w:ascii="Bookman Old Style" w:hAnsi="Bookman Old Style"/>
        </w:rPr>
        <w:t>, che si accontenta di stabilire nuovi vincoli</w:t>
      </w:r>
      <w:r w:rsidR="00250E3A">
        <w:rPr>
          <w:rFonts w:ascii="Bookman Old Style" w:hAnsi="Bookman Old Style"/>
        </w:rPr>
        <w:t xml:space="preserve"> e possibili penalizzazioni</w:t>
      </w:r>
      <w:r w:rsidR="005065DD">
        <w:rPr>
          <w:rFonts w:ascii="Bookman Old Style" w:hAnsi="Bookman Old Style"/>
        </w:rPr>
        <w:t xml:space="preserve"> per i responsabili comunali</w:t>
      </w:r>
      <w:r w:rsidR="00F9644B">
        <w:rPr>
          <w:rFonts w:ascii="Bookman Old Style" w:hAnsi="Bookman Old Style"/>
        </w:rPr>
        <w:t>,</w:t>
      </w:r>
      <w:r w:rsidR="005065DD">
        <w:rPr>
          <w:rFonts w:ascii="Bookman Old Style" w:hAnsi="Bookman Old Style"/>
        </w:rPr>
        <w:t xml:space="preserve"> in particolare </w:t>
      </w:r>
      <w:r w:rsidR="00F9644B">
        <w:rPr>
          <w:rFonts w:ascii="Bookman Old Style" w:hAnsi="Bookman Old Style"/>
        </w:rPr>
        <w:t>de</w:t>
      </w:r>
      <w:r w:rsidR="005065DD">
        <w:rPr>
          <w:rFonts w:ascii="Bookman Old Style" w:hAnsi="Bookman Old Style"/>
        </w:rPr>
        <w:t>i servizi finanziari</w:t>
      </w:r>
      <w:r w:rsidR="00364E3D">
        <w:rPr>
          <w:rFonts w:ascii="Bookman Old Style" w:hAnsi="Bookman Old Style"/>
        </w:rPr>
        <w:t>.</w:t>
      </w:r>
      <w:r w:rsidR="005065DD">
        <w:rPr>
          <w:rFonts w:ascii="Bookman Old Style" w:hAnsi="Bookman Old Style"/>
        </w:rPr>
        <w:t xml:space="preserve"> </w:t>
      </w:r>
      <w:r w:rsidR="006C3748">
        <w:rPr>
          <w:rFonts w:ascii="Bookman Old Style" w:hAnsi="Bookman Old Style"/>
        </w:rPr>
        <w:t xml:space="preserve"> </w:t>
      </w:r>
      <w:r w:rsidR="00CE526E">
        <w:rPr>
          <w:rFonts w:ascii="Bookman Old Style" w:hAnsi="Bookman Old Style"/>
        </w:rPr>
        <w:t xml:space="preserve"> </w:t>
      </w:r>
      <w:r w:rsidR="00156666">
        <w:rPr>
          <w:rFonts w:ascii="Bookman Old Style" w:hAnsi="Bookman Old Style"/>
        </w:rPr>
        <w:t xml:space="preserve"> </w:t>
      </w:r>
    </w:p>
    <w:p w14:paraId="038E796E" w14:textId="26F96C6E" w:rsidR="00334B9D" w:rsidRPr="00F06E2C" w:rsidRDefault="00B7009F" w:rsidP="00BC5A95">
      <w:pPr>
        <w:jc w:val="both"/>
        <w:rPr>
          <w:rFonts w:ascii="Bookman Old Style" w:hAnsi="Bookman Old Style"/>
        </w:rPr>
      </w:pPr>
      <w:r>
        <w:rPr>
          <w:rFonts w:ascii="Bookman Old Style" w:hAnsi="Bookman Old Style"/>
        </w:rPr>
        <w:t xml:space="preserve">Anci porrà con forza </w:t>
      </w:r>
      <w:r w:rsidR="004E792A">
        <w:rPr>
          <w:rFonts w:ascii="Bookman Old Style" w:hAnsi="Bookman Old Style"/>
        </w:rPr>
        <w:t xml:space="preserve">in tutte le sedi politiche ed istituzionali </w:t>
      </w:r>
      <w:r>
        <w:rPr>
          <w:rFonts w:ascii="Bookman Old Style" w:hAnsi="Bookman Old Style"/>
        </w:rPr>
        <w:t xml:space="preserve">l’esigenza di una </w:t>
      </w:r>
      <w:r w:rsidR="00E80313">
        <w:rPr>
          <w:rFonts w:ascii="Bookman Old Style" w:hAnsi="Bookman Old Style"/>
        </w:rPr>
        <w:t xml:space="preserve">sollecita </w:t>
      </w:r>
      <w:r>
        <w:rPr>
          <w:rFonts w:ascii="Bookman Old Style" w:hAnsi="Bookman Old Style"/>
        </w:rPr>
        <w:t xml:space="preserve">revisione </w:t>
      </w:r>
      <w:r w:rsidR="00AD4E77">
        <w:rPr>
          <w:rFonts w:ascii="Bookman Old Style" w:hAnsi="Bookman Old Style"/>
        </w:rPr>
        <w:t xml:space="preserve">del decreto 25 luglio prima che se ne producano i molti e prevedibili effetti </w:t>
      </w:r>
      <w:r w:rsidR="00EA12D4">
        <w:rPr>
          <w:rFonts w:ascii="Bookman Old Style" w:hAnsi="Bookman Old Style"/>
        </w:rPr>
        <w:t>indesiderati, a fronte di benefici quanto mai incerti</w:t>
      </w:r>
      <w:r w:rsidR="00341B81">
        <w:rPr>
          <w:rFonts w:ascii="Bookman Old Style" w:hAnsi="Bookman Old Style"/>
        </w:rPr>
        <w:t>.</w:t>
      </w:r>
      <w:r w:rsidR="00EA12D4">
        <w:rPr>
          <w:rFonts w:ascii="Bookman Old Style" w:hAnsi="Bookman Old Style"/>
        </w:rPr>
        <w:t xml:space="preserve"> </w:t>
      </w:r>
    </w:p>
    <w:sectPr w:rsidR="00334B9D" w:rsidRPr="00F06E2C" w:rsidSect="00774D59">
      <w:headerReference w:type="default" r:id="rId10"/>
      <w:pgSz w:w="11906" w:h="16838"/>
      <w:pgMar w:top="567" w:right="1134" w:bottom="1134" w:left="1134" w:header="567" w:footer="708"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2696FE" w14:textId="77777777" w:rsidR="008452CC" w:rsidRDefault="008452CC" w:rsidP="007C14B1">
      <w:pPr>
        <w:spacing w:after="0" w:line="240" w:lineRule="auto"/>
      </w:pPr>
      <w:r>
        <w:separator/>
      </w:r>
    </w:p>
  </w:endnote>
  <w:endnote w:type="continuationSeparator" w:id="0">
    <w:p w14:paraId="2B47BE5D" w14:textId="77777777" w:rsidR="008452CC" w:rsidRDefault="008452CC" w:rsidP="007C14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EA84A" w14:textId="77777777" w:rsidR="008452CC" w:rsidRDefault="008452CC" w:rsidP="007C14B1">
      <w:pPr>
        <w:spacing w:after="0" w:line="240" w:lineRule="auto"/>
      </w:pPr>
      <w:r>
        <w:separator/>
      </w:r>
    </w:p>
  </w:footnote>
  <w:footnote w:type="continuationSeparator" w:id="0">
    <w:p w14:paraId="26DF255B" w14:textId="77777777" w:rsidR="008452CC" w:rsidRDefault="008452CC" w:rsidP="007C14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69C0A" w14:textId="29C10C25" w:rsidR="007C14B1" w:rsidRDefault="007C14B1">
    <w:pPr>
      <w:pStyle w:val="Intestazione"/>
    </w:pPr>
    <w:r>
      <w:tab/>
    </w:r>
    <w:r w:rsidR="007A337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04963"/>
    <w:multiLevelType w:val="hybridMultilevel"/>
    <w:tmpl w:val="B3124C9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42CB2A02"/>
    <w:multiLevelType w:val="hybridMultilevel"/>
    <w:tmpl w:val="722A3A00"/>
    <w:lvl w:ilvl="0" w:tplc="FFFFFFF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4AC11166"/>
    <w:multiLevelType w:val="hybridMultilevel"/>
    <w:tmpl w:val="584E230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082677462">
    <w:abstractNumId w:val="2"/>
  </w:num>
  <w:num w:numId="2" w16cid:durableId="264772341">
    <w:abstractNumId w:val="0"/>
  </w:num>
  <w:num w:numId="3" w16cid:durableId="12245623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8DD"/>
    <w:rsid w:val="000052D1"/>
    <w:rsid w:val="00021574"/>
    <w:rsid w:val="00022415"/>
    <w:rsid w:val="0002364D"/>
    <w:rsid w:val="00043BBD"/>
    <w:rsid w:val="00055243"/>
    <w:rsid w:val="000563CF"/>
    <w:rsid w:val="00061D08"/>
    <w:rsid w:val="000701D4"/>
    <w:rsid w:val="000730FE"/>
    <w:rsid w:val="0007465D"/>
    <w:rsid w:val="00076424"/>
    <w:rsid w:val="000819C3"/>
    <w:rsid w:val="00083D3D"/>
    <w:rsid w:val="000858A1"/>
    <w:rsid w:val="00086B3D"/>
    <w:rsid w:val="000900D1"/>
    <w:rsid w:val="00090BD7"/>
    <w:rsid w:val="00091BFE"/>
    <w:rsid w:val="0009557D"/>
    <w:rsid w:val="00096786"/>
    <w:rsid w:val="000A114B"/>
    <w:rsid w:val="000A7735"/>
    <w:rsid w:val="000A795E"/>
    <w:rsid w:val="000A7EDE"/>
    <w:rsid w:val="000B21E3"/>
    <w:rsid w:val="000D2CB4"/>
    <w:rsid w:val="000D650A"/>
    <w:rsid w:val="00120816"/>
    <w:rsid w:val="0012762B"/>
    <w:rsid w:val="00127D51"/>
    <w:rsid w:val="00134DC0"/>
    <w:rsid w:val="00137B88"/>
    <w:rsid w:val="00150C3F"/>
    <w:rsid w:val="001560BC"/>
    <w:rsid w:val="00156666"/>
    <w:rsid w:val="00160376"/>
    <w:rsid w:val="00162C9A"/>
    <w:rsid w:val="00171154"/>
    <w:rsid w:val="001728DF"/>
    <w:rsid w:val="0017605B"/>
    <w:rsid w:val="001922C9"/>
    <w:rsid w:val="0019532A"/>
    <w:rsid w:val="00197AFC"/>
    <w:rsid w:val="001A2544"/>
    <w:rsid w:val="001B4FC9"/>
    <w:rsid w:val="001C2FD0"/>
    <w:rsid w:val="001C6A91"/>
    <w:rsid w:val="001D6A8E"/>
    <w:rsid w:val="001D73DC"/>
    <w:rsid w:val="001E252A"/>
    <w:rsid w:val="001F4D51"/>
    <w:rsid w:val="00202DEA"/>
    <w:rsid w:val="00202F1A"/>
    <w:rsid w:val="0020345E"/>
    <w:rsid w:val="00205082"/>
    <w:rsid w:val="00207B3E"/>
    <w:rsid w:val="00211B6F"/>
    <w:rsid w:val="00233FF3"/>
    <w:rsid w:val="0024047A"/>
    <w:rsid w:val="00247ACE"/>
    <w:rsid w:val="00250E3A"/>
    <w:rsid w:val="0025120F"/>
    <w:rsid w:val="002543F3"/>
    <w:rsid w:val="00255F6A"/>
    <w:rsid w:val="00285928"/>
    <w:rsid w:val="002930BB"/>
    <w:rsid w:val="002A0384"/>
    <w:rsid w:val="002A7185"/>
    <w:rsid w:val="002D23CD"/>
    <w:rsid w:val="002E5D47"/>
    <w:rsid w:val="002E7670"/>
    <w:rsid w:val="002F6A08"/>
    <w:rsid w:val="00300697"/>
    <w:rsid w:val="00301D91"/>
    <w:rsid w:val="00304DE2"/>
    <w:rsid w:val="00316BBB"/>
    <w:rsid w:val="0032037B"/>
    <w:rsid w:val="00321EB5"/>
    <w:rsid w:val="00325ABB"/>
    <w:rsid w:val="003300B3"/>
    <w:rsid w:val="00333D83"/>
    <w:rsid w:val="00334B9D"/>
    <w:rsid w:val="0033673C"/>
    <w:rsid w:val="003409C9"/>
    <w:rsid w:val="00341B81"/>
    <w:rsid w:val="00345211"/>
    <w:rsid w:val="003477BD"/>
    <w:rsid w:val="0035117E"/>
    <w:rsid w:val="003573FB"/>
    <w:rsid w:val="00362625"/>
    <w:rsid w:val="00364E3D"/>
    <w:rsid w:val="00370D4B"/>
    <w:rsid w:val="00371A53"/>
    <w:rsid w:val="0037412C"/>
    <w:rsid w:val="003820EF"/>
    <w:rsid w:val="00383D8F"/>
    <w:rsid w:val="0038567C"/>
    <w:rsid w:val="00391F97"/>
    <w:rsid w:val="003A52B7"/>
    <w:rsid w:val="003B5142"/>
    <w:rsid w:val="003B531E"/>
    <w:rsid w:val="003F344D"/>
    <w:rsid w:val="003F4E85"/>
    <w:rsid w:val="003F7723"/>
    <w:rsid w:val="00401422"/>
    <w:rsid w:val="00403D5B"/>
    <w:rsid w:val="0040444A"/>
    <w:rsid w:val="004057AC"/>
    <w:rsid w:val="0040712D"/>
    <w:rsid w:val="0042448A"/>
    <w:rsid w:val="00432154"/>
    <w:rsid w:val="0045614A"/>
    <w:rsid w:val="00456D7B"/>
    <w:rsid w:val="00462502"/>
    <w:rsid w:val="00472F56"/>
    <w:rsid w:val="00474F6F"/>
    <w:rsid w:val="00493842"/>
    <w:rsid w:val="004958DE"/>
    <w:rsid w:val="00496908"/>
    <w:rsid w:val="004971FC"/>
    <w:rsid w:val="004A2A51"/>
    <w:rsid w:val="004C03A0"/>
    <w:rsid w:val="004C0545"/>
    <w:rsid w:val="004C0AC4"/>
    <w:rsid w:val="004C5A88"/>
    <w:rsid w:val="004C5BC6"/>
    <w:rsid w:val="004D4582"/>
    <w:rsid w:val="004D5FC4"/>
    <w:rsid w:val="004E792A"/>
    <w:rsid w:val="0050579B"/>
    <w:rsid w:val="005065DD"/>
    <w:rsid w:val="00511C5C"/>
    <w:rsid w:val="00513D3A"/>
    <w:rsid w:val="005232C1"/>
    <w:rsid w:val="00526E8A"/>
    <w:rsid w:val="005379F2"/>
    <w:rsid w:val="005409D4"/>
    <w:rsid w:val="00543266"/>
    <w:rsid w:val="005449E5"/>
    <w:rsid w:val="00546507"/>
    <w:rsid w:val="00551818"/>
    <w:rsid w:val="00552360"/>
    <w:rsid w:val="005524A3"/>
    <w:rsid w:val="005528D7"/>
    <w:rsid w:val="005558FF"/>
    <w:rsid w:val="005708A7"/>
    <w:rsid w:val="005759D4"/>
    <w:rsid w:val="00585028"/>
    <w:rsid w:val="00586100"/>
    <w:rsid w:val="00595901"/>
    <w:rsid w:val="005A076D"/>
    <w:rsid w:val="005A324A"/>
    <w:rsid w:val="005B05D5"/>
    <w:rsid w:val="005B09D2"/>
    <w:rsid w:val="005B0A00"/>
    <w:rsid w:val="005B175B"/>
    <w:rsid w:val="005B3277"/>
    <w:rsid w:val="005B79E0"/>
    <w:rsid w:val="005C2206"/>
    <w:rsid w:val="005C536C"/>
    <w:rsid w:val="005C71BC"/>
    <w:rsid w:val="005D07E7"/>
    <w:rsid w:val="005D1283"/>
    <w:rsid w:val="005D55B9"/>
    <w:rsid w:val="005D6F01"/>
    <w:rsid w:val="005D7AAE"/>
    <w:rsid w:val="005E32C6"/>
    <w:rsid w:val="005E5D3F"/>
    <w:rsid w:val="005E6D4F"/>
    <w:rsid w:val="005F07B4"/>
    <w:rsid w:val="005F0950"/>
    <w:rsid w:val="00603C31"/>
    <w:rsid w:val="00607CD9"/>
    <w:rsid w:val="006113BB"/>
    <w:rsid w:val="006157F8"/>
    <w:rsid w:val="006175EC"/>
    <w:rsid w:val="00622B80"/>
    <w:rsid w:val="00627D1E"/>
    <w:rsid w:val="00631082"/>
    <w:rsid w:val="006404D9"/>
    <w:rsid w:val="00643FE5"/>
    <w:rsid w:val="00644F69"/>
    <w:rsid w:val="00645376"/>
    <w:rsid w:val="006463C8"/>
    <w:rsid w:val="00665BED"/>
    <w:rsid w:val="00674F3A"/>
    <w:rsid w:val="006814EE"/>
    <w:rsid w:val="0068261F"/>
    <w:rsid w:val="00683E43"/>
    <w:rsid w:val="006852BC"/>
    <w:rsid w:val="006913CE"/>
    <w:rsid w:val="00697531"/>
    <w:rsid w:val="006A5AEE"/>
    <w:rsid w:val="006B17B8"/>
    <w:rsid w:val="006B3ADF"/>
    <w:rsid w:val="006C1272"/>
    <w:rsid w:val="006C1581"/>
    <w:rsid w:val="006C3748"/>
    <w:rsid w:val="006C581B"/>
    <w:rsid w:val="006D13F2"/>
    <w:rsid w:val="006D39DD"/>
    <w:rsid w:val="006E4C8F"/>
    <w:rsid w:val="006F27CD"/>
    <w:rsid w:val="006F4949"/>
    <w:rsid w:val="006F6285"/>
    <w:rsid w:val="00710CA4"/>
    <w:rsid w:val="00723890"/>
    <w:rsid w:val="00723982"/>
    <w:rsid w:val="007242F7"/>
    <w:rsid w:val="007254E9"/>
    <w:rsid w:val="00732F3D"/>
    <w:rsid w:val="00742E7C"/>
    <w:rsid w:val="0074566C"/>
    <w:rsid w:val="007472C0"/>
    <w:rsid w:val="00750909"/>
    <w:rsid w:val="00761792"/>
    <w:rsid w:val="0076504F"/>
    <w:rsid w:val="00773AC8"/>
    <w:rsid w:val="00774D59"/>
    <w:rsid w:val="00780D15"/>
    <w:rsid w:val="007953D2"/>
    <w:rsid w:val="007A0070"/>
    <w:rsid w:val="007A0A51"/>
    <w:rsid w:val="007A3373"/>
    <w:rsid w:val="007A47BE"/>
    <w:rsid w:val="007B5D10"/>
    <w:rsid w:val="007C14B1"/>
    <w:rsid w:val="007C2E8E"/>
    <w:rsid w:val="007C4A1D"/>
    <w:rsid w:val="007D4729"/>
    <w:rsid w:val="007D754B"/>
    <w:rsid w:val="007E1FE4"/>
    <w:rsid w:val="007F2657"/>
    <w:rsid w:val="007F51EC"/>
    <w:rsid w:val="008105AA"/>
    <w:rsid w:val="0081183E"/>
    <w:rsid w:val="00812E61"/>
    <w:rsid w:val="0082123E"/>
    <w:rsid w:val="008216C6"/>
    <w:rsid w:val="00826342"/>
    <w:rsid w:val="00831034"/>
    <w:rsid w:val="00843D1A"/>
    <w:rsid w:val="008452CC"/>
    <w:rsid w:val="00854035"/>
    <w:rsid w:val="00855DB8"/>
    <w:rsid w:val="00860626"/>
    <w:rsid w:val="008768DD"/>
    <w:rsid w:val="008873CF"/>
    <w:rsid w:val="00891BA2"/>
    <w:rsid w:val="008940E7"/>
    <w:rsid w:val="00896A99"/>
    <w:rsid w:val="008A0E5D"/>
    <w:rsid w:val="008A1DA5"/>
    <w:rsid w:val="008B3E4A"/>
    <w:rsid w:val="008D457C"/>
    <w:rsid w:val="008D615D"/>
    <w:rsid w:val="008D7491"/>
    <w:rsid w:val="00904CC8"/>
    <w:rsid w:val="009057E4"/>
    <w:rsid w:val="0090602D"/>
    <w:rsid w:val="0091173C"/>
    <w:rsid w:val="00914247"/>
    <w:rsid w:val="00914FC1"/>
    <w:rsid w:val="0091518A"/>
    <w:rsid w:val="00942A66"/>
    <w:rsid w:val="00945B91"/>
    <w:rsid w:val="00955471"/>
    <w:rsid w:val="00956BBC"/>
    <w:rsid w:val="009575EB"/>
    <w:rsid w:val="009678CE"/>
    <w:rsid w:val="0098314F"/>
    <w:rsid w:val="009A7865"/>
    <w:rsid w:val="009B0E12"/>
    <w:rsid w:val="009D19CF"/>
    <w:rsid w:val="009E294F"/>
    <w:rsid w:val="009F14B6"/>
    <w:rsid w:val="00A1213D"/>
    <w:rsid w:val="00A1655B"/>
    <w:rsid w:val="00A217FA"/>
    <w:rsid w:val="00A247BB"/>
    <w:rsid w:val="00A33E04"/>
    <w:rsid w:val="00A374F7"/>
    <w:rsid w:val="00A47898"/>
    <w:rsid w:val="00A65091"/>
    <w:rsid w:val="00A67CF5"/>
    <w:rsid w:val="00A76987"/>
    <w:rsid w:val="00A80941"/>
    <w:rsid w:val="00A8206F"/>
    <w:rsid w:val="00A93347"/>
    <w:rsid w:val="00A9715B"/>
    <w:rsid w:val="00AA5D2C"/>
    <w:rsid w:val="00AB2A1B"/>
    <w:rsid w:val="00AC0E2C"/>
    <w:rsid w:val="00AC36B0"/>
    <w:rsid w:val="00AC3B93"/>
    <w:rsid w:val="00AD229C"/>
    <w:rsid w:val="00AD4E77"/>
    <w:rsid w:val="00AD4EB9"/>
    <w:rsid w:val="00AD6D27"/>
    <w:rsid w:val="00AE6BD3"/>
    <w:rsid w:val="00B260A1"/>
    <w:rsid w:val="00B4370F"/>
    <w:rsid w:val="00B5752A"/>
    <w:rsid w:val="00B602C6"/>
    <w:rsid w:val="00B7009F"/>
    <w:rsid w:val="00B71810"/>
    <w:rsid w:val="00B83241"/>
    <w:rsid w:val="00B8681E"/>
    <w:rsid w:val="00B91438"/>
    <w:rsid w:val="00B9217D"/>
    <w:rsid w:val="00B954D4"/>
    <w:rsid w:val="00B9675F"/>
    <w:rsid w:val="00BA54D8"/>
    <w:rsid w:val="00BB57FE"/>
    <w:rsid w:val="00BC5A95"/>
    <w:rsid w:val="00BD0276"/>
    <w:rsid w:val="00BD5113"/>
    <w:rsid w:val="00BE681C"/>
    <w:rsid w:val="00BF012F"/>
    <w:rsid w:val="00BF22D6"/>
    <w:rsid w:val="00C03C17"/>
    <w:rsid w:val="00C20CD9"/>
    <w:rsid w:val="00C227EA"/>
    <w:rsid w:val="00C4403E"/>
    <w:rsid w:val="00C446D5"/>
    <w:rsid w:val="00C46A72"/>
    <w:rsid w:val="00C47A49"/>
    <w:rsid w:val="00C522C5"/>
    <w:rsid w:val="00C54287"/>
    <w:rsid w:val="00C55AB4"/>
    <w:rsid w:val="00C55D53"/>
    <w:rsid w:val="00C56255"/>
    <w:rsid w:val="00C63AC3"/>
    <w:rsid w:val="00C64D77"/>
    <w:rsid w:val="00C65026"/>
    <w:rsid w:val="00C72EC7"/>
    <w:rsid w:val="00C92A5E"/>
    <w:rsid w:val="00C94DB1"/>
    <w:rsid w:val="00CA5FFE"/>
    <w:rsid w:val="00CB4A62"/>
    <w:rsid w:val="00CB72FB"/>
    <w:rsid w:val="00CE0F1F"/>
    <w:rsid w:val="00CE1FF7"/>
    <w:rsid w:val="00CE526E"/>
    <w:rsid w:val="00D00021"/>
    <w:rsid w:val="00D04708"/>
    <w:rsid w:val="00D131E2"/>
    <w:rsid w:val="00D15A7C"/>
    <w:rsid w:val="00D5075C"/>
    <w:rsid w:val="00D54CEF"/>
    <w:rsid w:val="00D67439"/>
    <w:rsid w:val="00D676E6"/>
    <w:rsid w:val="00D82BB3"/>
    <w:rsid w:val="00D83E77"/>
    <w:rsid w:val="00D847DD"/>
    <w:rsid w:val="00D85A84"/>
    <w:rsid w:val="00DA1C0D"/>
    <w:rsid w:val="00DA4D48"/>
    <w:rsid w:val="00DB682C"/>
    <w:rsid w:val="00DC54DA"/>
    <w:rsid w:val="00DC6C92"/>
    <w:rsid w:val="00DD3043"/>
    <w:rsid w:val="00DE30E0"/>
    <w:rsid w:val="00DE3181"/>
    <w:rsid w:val="00E038D1"/>
    <w:rsid w:val="00E32DE5"/>
    <w:rsid w:val="00E47FED"/>
    <w:rsid w:val="00E50E17"/>
    <w:rsid w:val="00E51382"/>
    <w:rsid w:val="00E525B8"/>
    <w:rsid w:val="00E62691"/>
    <w:rsid w:val="00E638D4"/>
    <w:rsid w:val="00E7212F"/>
    <w:rsid w:val="00E72DB4"/>
    <w:rsid w:val="00E80195"/>
    <w:rsid w:val="00E80313"/>
    <w:rsid w:val="00E829EF"/>
    <w:rsid w:val="00EA12D4"/>
    <w:rsid w:val="00EA1E75"/>
    <w:rsid w:val="00EA2E6C"/>
    <w:rsid w:val="00EA4522"/>
    <w:rsid w:val="00EA52E9"/>
    <w:rsid w:val="00EA7ED5"/>
    <w:rsid w:val="00EC30FE"/>
    <w:rsid w:val="00EC7284"/>
    <w:rsid w:val="00EC7AB3"/>
    <w:rsid w:val="00EC7DA9"/>
    <w:rsid w:val="00ED0E1E"/>
    <w:rsid w:val="00ED34F6"/>
    <w:rsid w:val="00ED6FAF"/>
    <w:rsid w:val="00F06E2C"/>
    <w:rsid w:val="00F17018"/>
    <w:rsid w:val="00F2435F"/>
    <w:rsid w:val="00F30169"/>
    <w:rsid w:val="00F3530F"/>
    <w:rsid w:val="00F41B9F"/>
    <w:rsid w:val="00F42B32"/>
    <w:rsid w:val="00F42D2C"/>
    <w:rsid w:val="00F468A8"/>
    <w:rsid w:val="00F4748F"/>
    <w:rsid w:val="00F52D14"/>
    <w:rsid w:val="00F5360C"/>
    <w:rsid w:val="00F539EA"/>
    <w:rsid w:val="00F55CAD"/>
    <w:rsid w:val="00F629AC"/>
    <w:rsid w:val="00F6476D"/>
    <w:rsid w:val="00F67D64"/>
    <w:rsid w:val="00F76426"/>
    <w:rsid w:val="00F9433A"/>
    <w:rsid w:val="00F9644B"/>
    <w:rsid w:val="00FA075B"/>
    <w:rsid w:val="00FA7AE6"/>
    <w:rsid w:val="00FB017C"/>
    <w:rsid w:val="00FB6251"/>
    <w:rsid w:val="00FC1C80"/>
    <w:rsid w:val="00FD218F"/>
    <w:rsid w:val="00FD48E3"/>
    <w:rsid w:val="00FF443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8C4AB9"/>
  <w15:chartTrackingRefBased/>
  <w15:docId w15:val="{2AB862DA-9F63-47DA-8E98-72006D4E0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7254E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reformattatoHTML">
    <w:name w:val="HTML Preformatted"/>
    <w:basedOn w:val="Normale"/>
    <w:link w:val="PreformattatoHTMLCarattere"/>
    <w:uiPriority w:val="99"/>
    <w:semiHidden/>
    <w:unhideWhenUsed/>
    <w:rsid w:val="00A809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it-IT"/>
      <w14:ligatures w14:val="none"/>
    </w:rPr>
  </w:style>
  <w:style w:type="character" w:customStyle="1" w:styleId="PreformattatoHTMLCarattere">
    <w:name w:val="Preformattato HTML Carattere"/>
    <w:basedOn w:val="Carpredefinitoparagrafo"/>
    <w:link w:val="PreformattatoHTML"/>
    <w:uiPriority w:val="99"/>
    <w:semiHidden/>
    <w:rsid w:val="00A80941"/>
    <w:rPr>
      <w:rFonts w:ascii="Courier New" w:eastAsia="Times New Roman" w:hAnsi="Courier New" w:cs="Courier New"/>
      <w:kern w:val="0"/>
      <w:sz w:val="20"/>
      <w:szCs w:val="20"/>
      <w:lang w:eastAsia="it-IT"/>
      <w14:ligatures w14:val="none"/>
    </w:rPr>
  </w:style>
  <w:style w:type="character" w:styleId="Collegamentoipertestuale">
    <w:name w:val="Hyperlink"/>
    <w:basedOn w:val="Carpredefinitoparagrafo"/>
    <w:uiPriority w:val="99"/>
    <w:semiHidden/>
    <w:unhideWhenUsed/>
    <w:rsid w:val="00A80941"/>
    <w:rPr>
      <w:color w:val="0000FF"/>
      <w:u w:val="single"/>
    </w:rPr>
  </w:style>
  <w:style w:type="character" w:customStyle="1" w:styleId="Titolo2Carattere">
    <w:name w:val="Titolo 2 Carattere"/>
    <w:basedOn w:val="Carpredefinitoparagrafo"/>
    <w:link w:val="Titolo2"/>
    <w:uiPriority w:val="9"/>
    <w:rsid w:val="007254E9"/>
    <w:rPr>
      <w:rFonts w:asciiTheme="majorHAnsi" w:eastAsiaTheme="majorEastAsia" w:hAnsiTheme="majorHAnsi" w:cstheme="majorBidi"/>
      <w:color w:val="2F5496" w:themeColor="accent1" w:themeShade="BF"/>
      <w:sz w:val="26"/>
      <w:szCs w:val="26"/>
    </w:rPr>
  </w:style>
  <w:style w:type="paragraph" w:styleId="Paragrafoelenco">
    <w:name w:val="List Paragraph"/>
    <w:basedOn w:val="Normale"/>
    <w:uiPriority w:val="34"/>
    <w:qFormat/>
    <w:rsid w:val="005C2206"/>
    <w:pPr>
      <w:ind w:left="720"/>
      <w:contextualSpacing/>
    </w:pPr>
  </w:style>
  <w:style w:type="paragraph" w:styleId="Revisione">
    <w:name w:val="Revision"/>
    <w:hidden/>
    <w:uiPriority w:val="99"/>
    <w:semiHidden/>
    <w:rsid w:val="00F539EA"/>
    <w:pPr>
      <w:spacing w:after="0" w:line="240" w:lineRule="auto"/>
    </w:pPr>
  </w:style>
  <w:style w:type="paragraph" w:styleId="Intestazione">
    <w:name w:val="header"/>
    <w:basedOn w:val="Normale"/>
    <w:link w:val="IntestazioneCarattere"/>
    <w:uiPriority w:val="99"/>
    <w:unhideWhenUsed/>
    <w:rsid w:val="007C14B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C14B1"/>
  </w:style>
  <w:style w:type="paragraph" w:styleId="Pidipagina">
    <w:name w:val="footer"/>
    <w:basedOn w:val="Normale"/>
    <w:link w:val="PidipaginaCarattere"/>
    <w:uiPriority w:val="99"/>
    <w:unhideWhenUsed/>
    <w:rsid w:val="007C14B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C14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1605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jpg@01D9899B.DCEB61D0"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2670</Words>
  <Characters>15225</Characters>
  <Application>Microsoft Office Word</Application>
  <DocSecurity>0</DocSecurity>
  <Lines>126</Lines>
  <Paragraphs>35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Alessandro Beltrami</dc:creator>
  <cp:keywords/>
  <dc:description/>
  <cp:lastModifiedBy>Ilaria Maccarini</cp:lastModifiedBy>
  <cp:revision>2</cp:revision>
  <dcterms:created xsi:type="dcterms:W3CDTF">2023-09-14T13:02:00Z</dcterms:created>
  <dcterms:modified xsi:type="dcterms:W3CDTF">2023-09-14T13:02:00Z</dcterms:modified>
</cp:coreProperties>
</file>